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4" w:type="dxa"/>
        <w:tblCellMar>
          <w:left w:w="10" w:type="dxa"/>
          <w:right w:w="10" w:type="dxa"/>
        </w:tblCellMar>
        <w:tblLook w:val="0000" w:firstRow="0" w:lastRow="0" w:firstColumn="0" w:lastColumn="0" w:noHBand="0" w:noVBand="0"/>
      </w:tblPr>
      <w:tblGrid>
        <w:gridCol w:w="3800"/>
        <w:gridCol w:w="5554"/>
      </w:tblGrid>
      <w:tr w:rsidR="00C446EC" w14:paraId="13DEA056" w14:textId="77777777" w:rsidTr="00B35896">
        <w:tc>
          <w:tcPr>
            <w:tcW w:w="3800" w:type="dxa"/>
          </w:tcPr>
          <w:p w14:paraId="717AFE82" w14:textId="77777777" w:rsidR="00C446EC" w:rsidRDefault="00C446EC" w:rsidP="00B35896">
            <w:pPr>
              <w:jc w:val="center"/>
            </w:pPr>
            <w:r>
              <w:t>ỦY BAN NHÂN DÂN</w:t>
            </w:r>
          </w:p>
          <w:p w14:paraId="1682BE49" w14:textId="77777777" w:rsidR="00C446EC" w:rsidRDefault="00C446EC" w:rsidP="00B35896">
            <w:pPr>
              <w:jc w:val="center"/>
            </w:pPr>
            <w:r>
              <w:t>THÀNH PHỐ HỒ CHÍ MINH</w:t>
            </w:r>
          </w:p>
          <w:p w14:paraId="30CABE87" w14:textId="77777777" w:rsidR="00C446EC" w:rsidRDefault="00C446EC" w:rsidP="00B35896">
            <w:pPr>
              <w:jc w:val="center"/>
            </w:pPr>
            <w:r>
              <w:rPr>
                <w:b/>
                <w:bCs/>
              </w:rPr>
              <w:t>SỞ AN TOÀN THỰC PHẨM</w:t>
            </w:r>
          </w:p>
          <w:p w14:paraId="6CFC09DF" w14:textId="77777777" w:rsidR="00C446EC" w:rsidRDefault="00C446EC" w:rsidP="00B35896">
            <w:pPr>
              <w:jc w:val="center"/>
            </w:pPr>
            <w:r>
              <w:rPr>
                <w:noProof/>
              </w:rPr>
              <mc:AlternateContent>
                <mc:Choice Requires="wps">
                  <w:drawing>
                    <wp:anchor distT="0" distB="0" distL="114300" distR="114300" simplePos="0" relativeHeight="251659264" behindDoc="0" locked="0" layoutInCell="1" allowOverlap="1" wp14:anchorId="4AFE5966" wp14:editId="1AB87B0B">
                      <wp:simplePos x="0" y="0"/>
                      <wp:positionH relativeFrom="column">
                        <wp:posOffset>683481</wp:posOffset>
                      </wp:positionH>
                      <wp:positionV relativeFrom="paragraph">
                        <wp:posOffset>31833</wp:posOffset>
                      </wp:positionV>
                      <wp:extent cx="1144988" cy="0"/>
                      <wp:effectExtent l="0" t="0" r="0" b="0"/>
                      <wp:wrapNone/>
                      <wp:docPr id="932395735" name="Straight Connector 1"/>
                      <wp:cNvGraphicFramePr/>
                      <a:graphic xmlns:a="http://schemas.openxmlformats.org/drawingml/2006/main">
                        <a:graphicData uri="http://schemas.microsoft.com/office/word/2010/wordprocessingShape">
                          <wps:wsp>
                            <wps:cNvCnPr/>
                            <wps:spPr>
                              <a:xfrm>
                                <a:off x="0" y="0"/>
                                <a:ext cx="11449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36E09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8pt,2.5pt" to="143.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" strokecolor="black [3200]" strokeweight=".5pt">
                      <v:stroke joinstyle="miter"/>
                    </v:line>
                  </w:pict>
                </mc:Fallback>
              </mc:AlternateContent>
            </w:r>
          </w:p>
        </w:tc>
        <w:tc>
          <w:tcPr>
            <w:tcW w:w="5554" w:type="dxa"/>
          </w:tcPr>
          <w:p w14:paraId="1C139F22" w14:textId="77777777" w:rsidR="00C446EC" w:rsidRPr="00C5364A" w:rsidRDefault="00C446EC" w:rsidP="00B35896">
            <w:pPr>
              <w:jc w:val="center"/>
            </w:pPr>
            <w:r>
              <w:rPr>
                <w:b/>
                <w:bCs/>
              </w:rPr>
              <w:t>CỘNG HÒA XÃ HỘI CHỦ NGHĨA VIỆT NAM</w:t>
            </w:r>
          </w:p>
          <w:p w14:paraId="37CC9D37" w14:textId="77777777" w:rsidR="00C446EC" w:rsidRDefault="00C446EC" w:rsidP="00B35896">
            <w:pPr>
              <w:jc w:val="center"/>
            </w:pPr>
            <w:r>
              <w:rPr>
                <w:b/>
                <w:bCs/>
              </w:rPr>
              <w:t>Độc lập - Tự do - Hạnh phúc</w:t>
            </w:r>
          </w:p>
          <w:p w14:paraId="3FB813DB" w14:textId="77777777" w:rsidR="00C446EC" w:rsidRDefault="00C446EC" w:rsidP="00B35896">
            <w:pPr>
              <w:jc w:val="center"/>
            </w:pPr>
            <w:r>
              <w:rPr>
                <w:noProof/>
              </w:rPr>
              <mc:AlternateContent>
                <mc:Choice Requires="wps">
                  <w:drawing>
                    <wp:anchor distT="0" distB="0" distL="114300" distR="114300" simplePos="0" relativeHeight="251660288" behindDoc="0" locked="0" layoutInCell="1" allowOverlap="1" wp14:anchorId="3255186F" wp14:editId="05972016">
                      <wp:simplePos x="0" y="0"/>
                      <wp:positionH relativeFrom="column">
                        <wp:posOffset>710261</wp:posOffset>
                      </wp:positionH>
                      <wp:positionV relativeFrom="paragraph">
                        <wp:posOffset>31750</wp:posOffset>
                      </wp:positionV>
                      <wp:extent cx="2083242" cy="7951"/>
                      <wp:effectExtent l="0" t="0" r="31750" b="30480"/>
                      <wp:wrapNone/>
                      <wp:docPr id="1817768541" name="Straight Connector 2"/>
                      <wp:cNvGraphicFramePr/>
                      <a:graphic xmlns:a="http://schemas.openxmlformats.org/drawingml/2006/main">
                        <a:graphicData uri="http://schemas.microsoft.com/office/word/2010/wordprocessingShape">
                          <wps:wsp>
                            <wps:cNvCnPr/>
                            <wps:spPr>
                              <a:xfrm>
                                <a:off x="0" y="0"/>
                                <a:ext cx="208324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E4798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95pt,2.5pt" to="220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" strokecolor="black [3200]" strokeweight=".5pt">
                      <v:stroke joinstyle="miter"/>
                    </v:line>
                  </w:pict>
                </mc:Fallback>
              </mc:AlternateContent>
            </w:r>
          </w:p>
        </w:tc>
      </w:tr>
      <w:tr w:rsidR="00C446EC" w14:paraId="736A0D4E" w14:textId="77777777" w:rsidTr="00B35896">
        <w:tc>
          <w:tcPr>
            <w:tcW w:w="3800" w:type="dxa"/>
          </w:tcPr>
          <w:p w14:paraId="5EB9CCAC" w14:textId="77777777" w:rsidR="00C446EC" w:rsidRPr="00C446EC" w:rsidRDefault="00C446EC" w:rsidP="00B35896">
            <w:pPr>
              <w:spacing w:before="100"/>
              <w:jc w:val="center"/>
              <w:rPr>
                <w:spacing w:val="-4"/>
              </w:rPr>
            </w:pPr>
            <w:r>
              <w:rPr>
                <w:spacing w:val="-4"/>
              </w:rPr>
              <w:t>Số:         /SATTP-GSNĐTP&amp;TTTT</w:t>
            </w:r>
          </w:p>
        </w:tc>
        <w:tc>
          <w:tcPr>
            <w:tcW w:w="5554" w:type="dxa"/>
          </w:tcPr>
          <w:p w14:paraId="18EDBCA0" w14:textId="77777777" w:rsidR="00C446EC" w:rsidRPr="00C5364A" w:rsidRDefault="00C446EC" w:rsidP="00B35896">
            <w:pPr>
              <w:spacing w:before="100"/>
              <w:jc w:val="center"/>
              <w:rPr>
                <w:spacing w:val="-8"/>
              </w:rPr>
            </w:pPr>
            <w:r>
              <w:rPr>
                <w:i/>
                <w:iCs/>
                <w:spacing w:val="-8"/>
              </w:rPr>
              <w:t>Thành phố Hồ Chí Minh, ngày     tháng     năm 2026</w:t>
            </w:r>
          </w:p>
        </w:tc>
      </w:tr>
    </w:tbl>
    <w:p w14:paraId="468D589B" w14:textId="77777777" w:rsidR="00C446EC" w:rsidRDefault="00633F1B">
      <w:pPr>
        <w:spacing w:before="200" w:after="40" w:line="300" w:lineRule="auto"/>
        <w:jc w:val="center"/>
        <w:rPr>
          <w:b/>
          <w:bCs/>
        </w:rPr>
      </w:pPr>
      <w:r>
        <w:rPr>
          <w:noProof/>
          <w:sz w:val="24"/>
          <w:szCs w:val="24"/>
        </w:rPr>
        <mc:AlternateContent>
          <mc:Choice Requires="wps">
            <w:drawing>
              <wp:anchor distT="0" distB="0" distL="114300" distR="114300" simplePos="0" relativeHeight="251663360" behindDoc="0" locked="0" layoutInCell="1" allowOverlap="1" wp14:anchorId="11B6A398" wp14:editId="26AEA928">
                <wp:simplePos x="0" y="0"/>
                <wp:positionH relativeFrom="column">
                  <wp:posOffset>-636104</wp:posOffset>
                </wp:positionH>
                <wp:positionV relativeFrom="paragraph">
                  <wp:posOffset>134814</wp:posOffset>
                </wp:positionV>
                <wp:extent cx="1169035" cy="349250"/>
                <wp:effectExtent l="0" t="0" r="12065" b="12700"/>
                <wp:wrapNone/>
                <wp:docPr id="1781355878" name="Rectangle 4"/>
                <wp:cNvGraphicFramePr/>
                <a:graphic xmlns:a="http://schemas.openxmlformats.org/drawingml/2006/main">
                  <a:graphicData uri="http://schemas.microsoft.com/office/word/2010/wordprocessingShape">
                    <wps:wsp>
                      <wps:cNvSpPr/>
                      <wps:spPr>
                        <a:xfrm>
                          <a:off x="0" y="0"/>
                          <a:ext cx="1169035" cy="34925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06719AE1" w14:textId="77777777" w:rsidR="00633F1B" w:rsidRDefault="00633F1B" w:rsidP="00633F1B">
                            <w:pPr>
                              <w:jc w:val="center"/>
                              <w:rPr>
                                <w:color w:val="000000" w:themeColor="text1"/>
                              </w:rPr>
                            </w:pPr>
                            <w:r>
                              <w:rPr>
                                <w:color w:val="000000" w:themeColor="text1"/>
                              </w:rPr>
                              <w:t>DỰ THẢO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4C720" id="Rectangle 4" o:spid="_x0000_s1026" style="position:absolute;left:0;text-align:left;margin-left:-50.1pt;margin-top:10.6pt;width:92.05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" filled="f" strokecolor="#09101d [484]" strokeweight=".25pt">
                <v:textbox>
                  <w:txbxContent>
                    <w:p w14:paraId="58F80C7C" w14:textId="77777777" w:rsidR="00633F1B" w:rsidRDefault="00633F1B" w:rsidP="00633F1B">
                      <w:pPr>
                        <w:jc w:val="center"/>
                        <w:rPr>
                          <w:color w:val="000000" w:themeColor="text1"/>
                        </w:rPr>
                      </w:pPr>
                      <w:r>
                        <w:rPr>
                          <w:color w:val="000000" w:themeColor="text1"/>
                        </w:rPr>
                        <w:t>DỰ THẢO</w:t>
                      </w:r>
                    </w:p>
                  </w:txbxContent>
                </v:textbox>
              </v:rect>
            </w:pict>
          </mc:Fallback>
        </mc:AlternateContent>
      </w:r>
    </w:p>
    <w:p w14:paraId="378D021C" w14:textId="77777777" w:rsidR="005E1808" w:rsidRPr="009D5A27" w:rsidRDefault="00000000" w:rsidP="00C446EC">
      <w:pPr>
        <w:jc w:val="center"/>
        <w:rPr>
          <w:sz w:val="28"/>
          <w:szCs w:val="28"/>
        </w:rPr>
      </w:pPr>
      <w:r>
        <w:rPr>
          <w:b/>
          <w:bCs/>
          <w:sz w:val="28"/>
          <w:szCs w:val="28"/>
        </w:rPr>
        <w:t>VĂN BẢN TỔNG HỢP KẾT QUẢ THAM VẤN CHÍNH SÁCH</w:t>
      </w:r>
    </w:p>
    <w:p w14:paraId="3796B0CF" w14:textId="77777777" w:rsidR="005E1808" w:rsidRPr="009D5A27" w:rsidRDefault="00000000" w:rsidP="00C446EC">
      <w:pPr>
        <w:jc w:val="center"/>
        <w:rPr>
          <w:sz w:val="28"/>
          <w:szCs w:val="28"/>
        </w:rPr>
      </w:pPr>
      <w:r>
        <w:rPr>
          <w:b/>
          <w:bCs/>
          <w:sz w:val="28"/>
          <w:szCs w:val="28"/>
        </w:rPr>
        <w:t>Dự thảo Quyết định ban hành Quy định về biện pháp, quy trình giám sát, phản ứng nhanh để phòng ngừa, ngăn chặn và khắc phục sự cố về an toàn thực phẩm trên địa bàn Thành phố Hồ Chí Minh</w:t>
      </w:r>
    </w:p>
    <w:p w14:paraId="2B09B75D" w14:textId="77777777" w:rsidR="00C446EC" w:rsidRDefault="00251379">
      <w:pPr>
        <w:spacing w:after="120" w:line="300" w:lineRule="auto"/>
        <w:ind w:firstLine="567"/>
        <w:jc w:val="both"/>
      </w:pPr>
      <w:r>
        <w:rPr>
          <w:noProof/>
        </w:rPr>
        <mc:AlternateContent>
          <mc:Choice Requires="wps">
            <w:drawing>
              <wp:anchor distT="0" distB="0" distL="114300" distR="114300" simplePos="0" relativeHeight="251661312" behindDoc="0" locked="0" layoutInCell="1" allowOverlap="1" wp14:anchorId="159C1A15" wp14:editId="20A15419">
                <wp:simplePos x="0" y="0"/>
                <wp:positionH relativeFrom="column">
                  <wp:posOffset>2140143</wp:posOffset>
                </wp:positionH>
                <wp:positionV relativeFrom="paragraph">
                  <wp:posOffset>28547</wp:posOffset>
                </wp:positionV>
                <wp:extent cx="1415332" cy="0"/>
                <wp:effectExtent l="0" t="0" r="0" b="0"/>
                <wp:wrapNone/>
                <wp:docPr id="1260581169" name="Straight Connector 1"/>
                <wp:cNvGraphicFramePr/>
                <a:graphic xmlns:a="http://schemas.openxmlformats.org/drawingml/2006/main">
                  <a:graphicData uri="http://schemas.microsoft.com/office/word/2010/wordprocessingShape">
                    <wps:wsp>
                      <wps:cNvCnPr/>
                      <wps:spPr>
                        <a:xfrm>
                          <a:off x="0" y="0"/>
                          <a:ext cx="14153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609A9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8.5pt,2.25pt" to="279.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" strokecolor="black [3200]" strokeweight=".5pt">
                <v:stroke joinstyle="miter"/>
              </v:line>
            </w:pict>
          </mc:Fallback>
        </mc:AlternateContent>
      </w:r>
    </w:p>
    <w:p w14:paraId="2ECC2D2C" w14:textId="77777777" w:rsidR="005E1808" w:rsidRPr="00251379" w:rsidRDefault="00000000" w:rsidP="00251379">
      <w:pPr>
        <w:keepNext/>
        <w:spacing w:before="120" w:after="120"/>
        <w:ind w:firstLine="567"/>
        <w:rPr>
          <w:sz w:val="28"/>
          <w:szCs w:val="28"/>
        </w:rPr>
      </w:pPr>
      <w:r>
        <w:rPr>
          <w:b/>
          <w:bCs/>
          <w:sz w:val="28"/>
          <w:szCs w:val="28"/>
        </w:rPr>
        <w:t>I. HÌNH THỨC, THÀNH PHẦN THAM VẤN</w:t>
      </w:r>
    </w:p>
    <w:p w14:paraId="69EDC846" w14:textId="77777777" w:rsidR="00156032" w:rsidRDefault="00000000" w:rsidP="00251379">
      <w:pPr>
        <w:spacing w:before="120" w:after="120"/>
        <w:ind w:firstLine="567"/>
        <w:jc w:val="both"/>
        <w:rPr>
          <w:sz w:val="28"/>
          <w:szCs w:val="28"/>
        </w:rPr>
      </w:pPr>
      <w:r>
        <w:rPr>
          <w:sz w:val="28"/>
          <w:szCs w:val="28"/>
        </w:rPr>
        <w:t>Sở An toàn thực phẩm tham vấn bằng văn bản, gồm: Công văn số 5876/SATTP-GSNĐTP&amp;TTTT ngày 15/9/2026 xin ý kiến góp ý dự thảo; Công văn số 6384/SATTP-GSNĐTP&amp;TTTT ngày 01/10/2026 (lần 2) đề nghị Bộ Y tế, Bộ Công Thương (Cục Công nghiệp), Bộ Nông nghiệp và Môi trường tiếp tục có ý kiến, gửi trước ngày 08/10/2026.</w:t>
      </w:r>
    </w:p>
    <w:p w14:paraId="622916B8" w14:textId="61818416" w:rsidR="005E1808" w:rsidRPr="00251379" w:rsidRDefault="00000000" w:rsidP="00251379">
      <w:pPr>
        <w:spacing w:before="120" w:after="120"/>
        <w:ind w:firstLine="567"/>
        <w:jc w:val="both"/>
        <w:rPr>
          <w:sz w:val="28"/>
          <w:szCs w:val="28"/>
        </w:rPr>
      </w:pPr>
      <w:r>
        <w:rPr>
          <w:sz w:val="28"/>
          <w:szCs w:val="28"/>
        </w:rPr>
        <w:t>Thành phần tham vấn gồm: Bộ Y tế, Bộ Công Thương</w:t>
      </w:r>
      <w:r w:rsidR="00ED57BD">
        <w:rPr>
          <w:sz w:val="28"/>
          <w:szCs w:val="28"/>
        </w:rPr>
        <w:t xml:space="preserve">, </w:t>
      </w:r>
      <w:r>
        <w:rPr>
          <w:sz w:val="28"/>
          <w:szCs w:val="28"/>
        </w:rPr>
        <w:t>Bộ Nông nghiệp và Môi trườn</w:t>
      </w:r>
      <w:r w:rsidR="00ED57BD">
        <w:rPr>
          <w:sz w:val="28"/>
          <w:szCs w:val="28"/>
        </w:rPr>
        <w:t xml:space="preserve">g và </w:t>
      </w:r>
      <w:r>
        <w:rPr>
          <w:sz w:val="28"/>
          <w:szCs w:val="28"/>
        </w:rPr>
        <w:t>Ủy ban Mặt trận Tổ quốc Việt Nam Thành phố. Thời hạn tham vấn bảo đảm tối thiểu 05 ngày làm việc theo quy định.</w:t>
      </w:r>
    </w:p>
    <w:p w14:paraId="5D598342" w14:textId="77777777" w:rsidR="005E1808" w:rsidRPr="00251379" w:rsidRDefault="00000000" w:rsidP="00251379">
      <w:pPr>
        <w:keepNext/>
        <w:spacing w:before="120" w:after="120"/>
        <w:ind w:firstLine="560"/>
        <w:rPr>
          <w:sz w:val="28"/>
          <w:szCs w:val="28"/>
        </w:rPr>
      </w:pPr>
      <w:r>
        <w:rPr>
          <w:b/>
          <w:bCs/>
          <w:sz w:val="28"/>
          <w:szCs w:val="28"/>
        </w:rPr>
        <w:t>II. VẤN ĐỀ CHÍNH SÁCH CẦN THAM VẤN</w:t>
      </w:r>
    </w:p>
    <w:p w14:paraId="4E0D62D4" w14:textId="77777777" w:rsidR="005E1808" w:rsidRPr="00251379" w:rsidRDefault="00000000" w:rsidP="007E2EF9">
      <w:pPr>
        <w:spacing w:before="120" w:after="120"/>
        <w:ind w:firstLine="567"/>
        <w:jc w:val="both"/>
        <w:rPr>
          <w:sz w:val="28"/>
          <w:szCs w:val="28"/>
        </w:rPr>
      </w:pPr>
      <w:r>
        <w:rPr>
          <w:sz w:val="28"/>
          <w:szCs w:val="28"/>
        </w:rPr>
        <w:t>(1) Phân loại cấp độ sự cố và phân công cơ quan chủ trì xử lý (Điều 10).</w:t>
      </w:r>
    </w:p>
    <w:p w14:paraId="72952F69" w14:textId="77777777" w:rsidR="005E1808" w:rsidRPr="00251379" w:rsidRDefault="00000000" w:rsidP="007E2EF9">
      <w:pPr>
        <w:spacing w:before="120" w:after="120"/>
        <w:ind w:firstLine="567"/>
        <w:jc w:val="both"/>
        <w:rPr>
          <w:sz w:val="28"/>
          <w:szCs w:val="28"/>
        </w:rPr>
      </w:pPr>
      <w:r>
        <w:rPr>
          <w:sz w:val="28"/>
          <w:szCs w:val="28"/>
        </w:rPr>
        <w:t>(2) Mốc thời gian phản ứng 02 giờ, báo cáo 24 giờ và Đội phản ứng nhanh (Điều 11 đến Điều 13).</w:t>
      </w:r>
    </w:p>
    <w:p w14:paraId="6048CB86" w14:textId="77777777" w:rsidR="005E1808" w:rsidRPr="00251379" w:rsidRDefault="00000000" w:rsidP="007E2EF9">
      <w:pPr>
        <w:spacing w:before="120" w:after="120"/>
        <w:ind w:firstLine="567"/>
        <w:jc w:val="both"/>
        <w:rPr>
          <w:sz w:val="28"/>
          <w:szCs w:val="28"/>
        </w:rPr>
      </w:pPr>
      <w:r>
        <w:rPr>
          <w:sz w:val="28"/>
          <w:szCs w:val="28"/>
        </w:rPr>
        <w:t>(3) Biện pháp, quy trình giám sát, cảnh báo sớm và chia sẻ dữ liệu về an toàn thực phẩm (Điều 5 đến Điều 9).</w:t>
      </w:r>
    </w:p>
    <w:p w14:paraId="63B4C199" w14:textId="77777777" w:rsidR="005E1808" w:rsidRPr="00251379" w:rsidRDefault="00000000" w:rsidP="007E2EF9">
      <w:pPr>
        <w:spacing w:before="120" w:after="120"/>
        <w:ind w:firstLine="567"/>
        <w:jc w:val="both"/>
        <w:rPr>
          <w:sz w:val="28"/>
          <w:szCs w:val="28"/>
        </w:rPr>
      </w:pPr>
      <w:r>
        <w:rPr>
          <w:sz w:val="28"/>
          <w:szCs w:val="28"/>
        </w:rPr>
        <w:t>(4) Biện pháp ngăn chặn khẩn cấp và trách nhiệm tổ chức, cá nhân (Điều 14, Điều 23).</w:t>
      </w:r>
    </w:p>
    <w:p w14:paraId="2873F655" w14:textId="77777777" w:rsidR="005E1808" w:rsidRPr="00251379" w:rsidRDefault="00000000" w:rsidP="00251379">
      <w:pPr>
        <w:keepNext/>
        <w:spacing w:before="120" w:after="120"/>
        <w:ind w:firstLine="560"/>
        <w:rPr>
          <w:sz w:val="28"/>
          <w:szCs w:val="28"/>
        </w:rPr>
      </w:pPr>
      <w:r>
        <w:rPr>
          <w:b/>
          <w:bCs/>
          <w:sz w:val="28"/>
          <w:szCs w:val="28"/>
        </w:rPr>
        <w:t>III. KẾT QUẢ THAM VẤN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4"/>
        <w:gridCol w:w="1496"/>
        <w:gridCol w:w="1950"/>
        <w:gridCol w:w="2792"/>
        <w:gridCol w:w="2199"/>
      </w:tblGrid>
      <w:tr w:rsidR="005E1808" w:rsidRPr="0000007D" w14:paraId="6D377BB5" w14:textId="77777777" w:rsidTr="00251379">
        <w:trPr>
          <w:tblHeader/>
        </w:trPr>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BDD600" w14:textId="77777777" w:rsidR="005E1808" w:rsidRPr="0000007D" w:rsidRDefault="00000000" w:rsidP="0000007D">
            <w:pPr>
              <w:jc w:val="center"/>
              <w:rPr>
                <w:sz w:val="24"/>
                <w:szCs w:val="24"/>
              </w:rPr>
            </w:pPr>
            <w:r>
              <w:rPr>
                <w:b/>
                <w:bCs/>
                <w:sz w:val="24"/>
                <w:szCs w:val="24"/>
              </w:rPr>
              <w:t>STT</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C77D8B" w14:textId="77777777" w:rsidR="005E1808" w:rsidRPr="0000007D" w:rsidRDefault="00000000" w:rsidP="0000007D">
            <w:pPr>
              <w:jc w:val="center"/>
              <w:rPr>
                <w:sz w:val="24"/>
                <w:szCs w:val="24"/>
              </w:rPr>
            </w:pPr>
            <w:r>
              <w:rPr>
                <w:b/>
                <w:bCs/>
                <w:sz w:val="24"/>
                <w:szCs w:val="24"/>
              </w:rPr>
              <w:t>Cơ quan, tổ chức được tham vấn</w:t>
            </w:r>
          </w:p>
        </w:tc>
        <w:tc>
          <w:tcPr>
            <w:tcW w:w="1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27F22C" w14:textId="77777777" w:rsidR="005E1808" w:rsidRPr="0000007D" w:rsidRDefault="00000000" w:rsidP="0000007D">
            <w:pPr>
              <w:jc w:val="center"/>
              <w:rPr>
                <w:sz w:val="24"/>
                <w:szCs w:val="24"/>
              </w:rPr>
            </w:pPr>
            <w:r>
              <w:rPr>
                <w:b/>
                <w:bCs/>
                <w:sz w:val="24"/>
                <w:szCs w:val="24"/>
              </w:rPr>
              <w:t>Văn bản đề nghị/ trả lời</w:t>
            </w:r>
          </w:p>
        </w:tc>
        <w:tc>
          <w:tcPr>
            <w:tcW w:w="2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82500F" w14:textId="77777777" w:rsidR="005E1808" w:rsidRPr="0000007D" w:rsidRDefault="00000000" w:rsidP="0000007D">
            <w:pPr>
              <w:jc w:val="center"/>
              <w:rPr>
                <w:sz w:val="24"/>
                <w:szCs w:val="24"/>
              </w:rPr>
            </w:pPr>
            <w:r>
              <w:rPr>
                <w:b/>
                <w:bCs/>
                <w:sz w:val="24"/>
                <w:szCs w:val="24"/>
              </w:rPr>
              <w:t>Quan điểm</w:t>
            </w:r>
          </w:p>
        </w:tc>
        <w:tc>
          <w:tcPr>
            <w:tcW w:w="22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4633A1" w14:textId="77777777" w:rsidR="005E1808" w:rsidRPr="0000007D" w:rsidRDefault="00000000" w:rsidP="0000007D">
            <w:pPr>
              <w:jc w:val="center"/>
              <w:rPr>
                <w:sz w:val="24"/>
                <w:szCs w:val="24"/>
              </w:rPr>
            </w:pPr>
            <w:r>
              <w:rPr>
                <w:b/>
                <w:bCs/>
                <w:sz w:val="24"/>
                <w:szCs w:val="24"/>
              </w:rPr>
              <w:t>Tiếp thu, giải trình</w:t>
            </w:r>
          </w:p>
        </w:tc>
      </w:tr>
      <w:tr w:rsidR="005E1808" w:rsidRPr="0000007D" w14:paraId="655E5B00" w14:textId="77777777">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91AEE4" w14:textId="77777777" w:rsidR="005E1808" w:rsidRPr="0000007D" w:rsidRDefault="00000000" w:rsidP="0000007D">
            <w:pPr>
              <w:jc w:val="center"/>
              <w:rPr>
                <w:sz w:val="24"/>
                <w:szCs w:val="24"/>
              </w:rPr>
            </w:pPr>
            <w:r>
              <w:rPr>
                <w:sz w:val="24"/>
                <w:szCs w:val="24"/>
              </w:rPr>
              <w:t>1</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EF161A" w14:textId="77777777" w:rsidR="005E1808" w:rsidRPr="0000007D" w:rsidRDefault="00000000" w:rsidP="0000007D">
            <w:pPr>
              <w:rPr>
                <w:sz w:val="24"/>
                <w:szCs w:val="24"/>
              </w:rPr>
            </w:pPr>
            <w:r>
              <w:rPr>
                <w:sz w:val="24"/>
                <w:szCs w:val="24"/>
              </w:rPr>
              <w:t>Bộ Y tế</w:t>
            </w:r>
          </w:p>
        </w:tc>
        <w:tc>
          <w:tcPr>
            <w:tcW w:w="1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2715FD" w14:textId="77777777" w:rsidR="00CB58F2" w:rsidRDefault="00000000">
            <w:pPr>
              <w:jc w:val="center"/>
              <w:rPr>
                <w:sz w:val="24"/>
                <w:szCs w:val="24"/>
              </w:rPr>
            </w:pPr>
            <w:r>
              <w:rPr>
                <w:sz w:val="24"/>
                <w:szCs w:val="24"/>
              </w:rPr>
              <w:t>Công văn số 2142/ATTP-NĐTT ngày 12/10/2026 của Bộ Y tế (Cục An toàn thực phẩm) trả lời Công văn số 5876/SATTP-GSNĐTP&amp;TTTT.</w:t>
            </w:r>
          </w:p>
        </w:tc>
        <w:tc>
          <w:tcPr>
            <w:tcW w:w="2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83753D" w14:textId="77777777" w:rsidR="00CB58F2" w:rsidRDefault="00000000">
            <w:pPr>
              <w:jc w:val="both"/>
              <w:rPr>
                <w:sz w:val="24"/>
                <w:szCs w:val="24"/>
              </w:rPr>
            </w:pPr>
            <w:r>
              <w:rPr>
                <w:sz w:val="24"/>
                <w:szCs w:val="24"/>
              </w:rPr>
              <w:t>Thống nhất về chủ trương ban hành Quy định. Đề nghị cơ quan chủ trì soạn thảo hoàn thiện theo 25 nội dung góp ý tại Phụ lục kèm Công văn, gồm:</w:t>
            </w:r>
          </w:p>
          <w:p w14:paraId="59354EF8" w14:textId="77777777" w:rsidR="00CB58F2" w:rsidRDefault="00000000">
            <w:pPr>
              <w:jc w:val="both"/>
              <w:rPr>
                <w:sz w:val="24"/>
                <w:szCs w:val="24"/>
              </w:rPr>
            </w:pPr>
            <w:r>
              <w:rPr>
                <w:b/>
                <w:bCs/>
                <w:sz w:val="24"/>
                <w:szCs w:val="24"/>
              </w:rPr>
              <w:t>(1)</w:t>
            </w:r>
            <w:r>
              <w:rPr>
                <w:sz w:val="24"/>
                <w:szCs w:val="24"/>
              </w:rPr>
              <w:t xml:space="preserve"> Hình thức văn bản: xây dựng Quyết định của Ủy ban nhân dân cấp tỉnh theo </w:t>
            </w:r>
            <w:r>
              <w:rPr>
                <w:sz w:val="24"/>
                <w:szCs w:val="24"/>
              </w:rPr>
              <w:lastRenderedPageBreak/>
              <w:t>Luật Ban hành văn bản quy phạm pháp luật và mục 3 Chương IV Nghị định số 78/2025/NĐ-CP (được sửa đổi, bổ sung bởi Nghị định số 187/2025/NĐ-CP);</w:t>
            </w:r>
          </w:p>
          <w:p w14:paraId="6D236791" w14:textId="77777777" w:rsidR="00CB58F2" w:rsidRDefault="00000000">
            <w:pPr>
              <w:jc w:val="both"/>
              <w:rPr>
                <w:sz w:val="24"/>
                <w:szCs w:val="24"/>
              </w:rPr>
            </w:pPr>
            <w:r>
              <w:rPr>
                <w:b/>
                <w:bCs/>
                <w:sz w:val="24"/>
                <w:szCs w:val="24"/>
              </w:rPr>
              <w:t>(2)</w:t>
            </w:r>
            <w:r>
              <w:rPr>
                <w:sz w:val="24"/>
                <w:szCs w:val="24"/>
              </w:rPr>
              <w:t xml:space="preserve"> Tên gọi, khái niệm, thuật ngữ (Phụ lục mục 1, 2, 3, 10, 23): sửa tên dự thảo; viện dẫn đúng khoản 17 Điều 2 Luật An toàn thực phẩm, không mở rộng định nghĩa sự cố; thống nhất tên gọi hệ thống dữ liệu; thay “quản lý rủi ro” bằng “quản lý nguy cơ”; sửa tên điều về trách nhiệm của tổ chức, cá nhân “có liên quan đến sự cố”;</w:t>
            </w:r>
          </w:p>
          <w:p w14:paraId="02491FF6" w14:textId="77777777" w:rsidR="00CB58F2" w:rsidRDefault="00000000">
            <w:pPr>
              <w:jc w:val="both"/>
              <w:rPr>
                <w:sz w:val="24"/>
                <w:szCs w:val="24"/>
              </w:rPr>
            </w:pPr>
            <w:r>
              <w:rPr>
                <w:b/>
                <w:bCs/>
                <w:sz w:val="24"/>
                <w:szCs w:val="24"/>
              </w:rPr>
              <w:t>(3)</w:t>
            </w:r>
            <w:r>
              <w:rPr>
                <w:sz w:val="24"/>
                <w:szCs w:val="24"/>
              </w:rPr>
              <w:t xml:space="preserve"> Cơ sở dữ liệu và bảo vệ dữ liệu cá nhân (Phụ lục mục 3, 11, 19): quy định đơn vị quản trị, phân quyền, nhật ký truy cập, thời hạn lưu trữ; bổ sung quy định riêng về bảo vệ dữ liệu cá nhân (tối thiểu hóa, phân quyền, khử định danh, mã hóa, thời hạn lưu giữ) theo Luật Bảo vệ dữ liệu cá nhân và Luật Khám bệnh, chữa bệnh; phân biệt cập nhật dữ liệu tác nghiệp với hồ sơ hoàn chỉnh để tránh trùng lặp;</w:t>
            </w:r>
          </w:p>
          <w:p w14:paraId="4A5BE4A0" w14:textId="77777777" w:rsidR="00CB58F2" w:rsidRDefault="00000000">
            <w:pPr>
              <w:jc w:val="both"/>
              <w:rPr>
                <w:sz w:val="24"/>
                <w:szCs w:val="24"/>
              </w:rPr>
            </w:pPr>
            <w:r>
              <w:rPr>
                <w:b/>
                <w:bCs/>
                <w:sz w:val="24"/>
                <w:szCs w:val="24"/>
              </w:rPr>
              <w:t>(4)</w:t>
            </w:r>
            <w:r>
              <w:rPr>
                <w:sz w:val="24"/>
                <w:szCs w:val="24"/>
              </w:rPr>
              <w:t xml:space="preserve"> Mạng lưới, đối tượng giám sát (Phụ lục mục 4): xác định rõ “điểm giám sát”, bỏ hoặc định lượng tiêu chí “quy mô lớn”; bổ sung điểm ăn uống đường phố, hoạt động từ thiện, ăn uống tập thể (đám cưới...);</w:t>
            </w:r>
          </w:p>
          <w:p w14:paraId="425EBA2D" w14:textId="77777777" w:rsidR="00CB58F2" w:rsidRDefault="00000000">
            <w:pPr>
              <w:jc w:val="both"/>
              <w:rPr>
                <w:sz w:val="24"/>
                <w:szCs w:val="24"/>
              </w:rPr>
            </w:pPr>
            <w:r>
              <w:rPr>
                <w:b/>
                <w:bCs/>
                <w:sz w:val="24"/>
                <w:szCs w:val="24"/>
              </w:rPr>
              <w:t>(5)</w:t>
            </w:r>
            <w:r>
              <w:rPr>
                <w:sz w:val="24"/>
                <w:szCs w:val="24"/>
              </w:rPr>
              <w:t xml:space="preserve"> Tiếp nhận thông tin, phân loại cấp độ, phân công chủ trì (Phụ lục mục 5, 6, 7): chuẩn hóa thông tin tối thiểu, biểu mẫu tiếp </w:t>
            </w:r>
            <w:r>
              <w:rPr>
                <w:sz w:val="24"/>
                <w:szCs w:val="24"/>
              </w:rPr>
              <w:lastRenderedPageBreak/>
              <w:t>nhận; thiết kế lại tiêu chí cấp độ theo tác nhân, hậu quả, nguy cơ (số ca mắc, ca nặng, phạm vi, nhóm dễ tổn thương), tiêu chí địa điểm chỉ là yếu tố bổ sung, mở rộng tiêu chí đối với cơ sở giáo dục (mầm non, tiểu học); Ủy ban nhân dân cấp xã chủ trì tổ chức xử lý ban đầu, hoạt động điều tra chuyên môn do cơ quan có thẩm quyền thực hiện;</w:t>
            </w:r>
          </w:p>
          <w:p w14:paraId="471917FB" w14:textId="77777777" w:rsidR="00CB58F2" w:rsidRDefault="00000000">
            <w:pPr>
              <w:jc w:val="both"/>
              <w:rPr>
                <w:sz w:val="24"/>
                <w:szCs w:val="24"/>
              </w:rPr>
            </w:pPr>
            <w:r>
              <w:rPr>
                <w:b/>
                <w:bCs/>
                <w:sz w:val="24"/>
                <w:szCs w:val="24"/>
              </w:rPr>
              <w:t>(6)</w:t>
            </w:r>
            <w:r>
              <w:rPr>
                <w:sz w:val="24"/>
                <w:szCs w:val="24"/>
              </w:rPr>
              <w:t xml:space="preserve"> Cảnh báo sớm, ứng dụng công nghệ (Phụ lục mục 8, 9, 10): thay cụm “ca bệnh liên quan đến tiêu hóa” bằng “nghi ngờ ngộ độc thực phẩm”; ứng dụng trí tuệ nhân tạo, dữ liệu lớn, cảnh báo tự động theo hướng từng bước, có xác minh của đầu mối chuyên môn; kết nối kết quả kiểm nghiệm với dữ liệu dịch tễ, lâm sàng;</w:t>
            </w:r>
          </w:p>
          <w:p w14:paraId="28B9C48A" w14:textId="77777777" w:rsidR="00CB58F2" w:rsidRDefault="00000000">
            <w:pPr>
              <w:jc w:val="both"/>
              <w:rPr>
                <w:sz w:val="24"/>
                <w:szCs w:val="24"/>
              </w:rPr>
            </w:pPr>
            <w:r>
              <w:rPr>
                <w:b/>
                <w:bCs/>
                <w:sz w:val="24"/>
                <w:szCs w:val="24"/>
              </w:rPr>
              <w:t>(7)</w:t>
            </w:r>
            <w:r>
              <w:rPr>
                <w:sz w:val="24"/>
                <w:szCs w:val="24"/>
              </w:rPr>
              <w:t xml:space="preserve"> Đội phản ứng nhanh, mốc thời gian (Phụ lục mục 12, 13, 14, 15): làm rõ mốc 02 giờ là báo cáo nhanh/xác nhận thông tin ban đầu, mốc 24 giờ là báo cáo sơ bộ; xác định mốc phản ứng theo từng bước, điều kiện địa bàn; bổ sung các viện chuyên ngành vào thành phần Đội; thay “check-in định vị” bằng xác nhận trạng thái tiếp nhận nhiệm vụ, có mặt tại hiện trường;</w:t>
            </w:r>
          </w:p>
          <w:p w14:paraId="79B59921" w14:textId="77777777" w:rsidR="00CB58F2" w:rsidRDefault="00000000">
            <w:pPr>
              <w:jc w:val="both"/>
              <w:rPr>
                <w:sz w:val="24"/>
                <w:szCs w:val="24"/>
              </w:rPr>
            </w:pPr>
            <w:r>
              <w:rPr>
                <w:b/>
                <w:bCs/>
                <w:sz w:val="24"/>
                <w:szCs w:val="24"/>
              </w:rPr>
              <w:t>(8)</w:t>
            </w:r>
            <w:r>
              <w:rPr>
                <w:sz w:val="24"/>
                <w:szCs w:val="24"/>
              </w:rPr>
              <w:t xml:space="preserve"> Lấy mẫu, truy xuất nguồn gốc, điều tra (Phụ lục mục 16, 17, 18): tách mẫu thực phẩm, nguyên liệu, môi trường với mẫu bệnh phẩm theo chủ thể chuyên môn; làm rõ phối </w:t>
            </w:r>
            <w:r>
              <w:rPr>
                <w:sz w:val="24"/>
                <w:szCs w:val="24"/>
              </w:rPr>
              <w:lastRenderedPageBreak/>
              <w:t>hợp lấy, bảo quản, vận chuyển, bàn giao mẫu, truy xuất hai chiều; không coi tiêu chuẩn, quy chuẩn là căn cứ duy nhất để kết luận nguyên nhân;</w:t>
            </w:r>
          </w:p>
          <w:p w14:paraId="46C06D44" w14:textId="77777777" w:rsidR="00CB58F2" w:rsidRDefault="00000000">
            <w:pPr>
              <w:jc w:val="both"/>
              <w:rPr>
                <w:sz w:val="24"/>
                <w:szCs w:val="24"/>
              </w:rPr>
            </w:pPr>
            <w:r>
              <w:rPr>
                <w:b/>
                <w:bCs/>
                <w:sz w:val="24"/>
                <w:szCs w:val="24"/>
              </w:rPr>
              <w:t>(9)</w:t>
            </w:r>
            <w:r>
              <w:rPr>
                <w:sz w:val="24"/>
                <w:szCs w:val="24"/>
              </w:rPr>
              <w:t xml:space="preserve"> Công bố thông tin, truyền thông nguy cơ (Phụ lục mục 20): sửa cụm “định hướng thông tin, hạn chế tin đồn sai lệch, ổn định tâm lý cộng đồng”; quy định đầu mối phát ngôn, không công bố kết luận nguyên nhân khi chưa đủ căn cứ;</w:t>
            </w:r>
          </w:p>
          <w:p w14:paraId="5F2CA14B" w14:textId="77777777" w:rsidR="00CB58F2" w:rsidRDefault="00000000">
            <w:pPr>
              <w:jc w:val="both"/>
              <w:rPr>
                <w:sz w:val="24"/>
                <w:szCs w:val="24"/>
              </w:rPr>
            </w:pPr>
            <w:r>
              <w:rPr>
                <w:b/>
                <w:bCs/>
                <w:sz w:val="24"/>
                <w:szCs w:val="24"/>
              </w:rPr>
              <w:t>(10)</w:t>
            </w:r>
            <w:r>
              <w:rPr>
                <w:sz w:val="24"/>
                <w:szCs w:val="24"/>
              </w:rPr>
              <w:t xml:space="preserve"> Trách nhiệm tổ chức thực hiện (Phụ lục mục 21, 22, 24): cụ thể hóa trách nhiệm của Sở Y tế, cơ sở khám bệnh, chữa bệnh, cơ sở kiểm nghiệm, ngành giáo dục, đơn vị quản lý khu công nghiệp, chợ; cơ chế phối hợp với các viện chuyên ngành; trách nhiệm chủ động thu hồi, thông báo thu hồi sản phẩm của cơ sở; cụ thể hóa kinh phí lấy mẫu, vận chuyển, kiểm nghiệm khẩn cấp;</w:t>
            </w:r>
          </w:p>
          <w:p w14:paraId="4E34A10C" w14:textId="77777777" w:rsidR="00CB58F2" w:rsidRDefault="00000000">
            <w:pPr>
              <w:jc w:val="both"/>
              <w:rPr>
                <w:sz w:val="24"/>
                <w:szCs w:val="24"/>
              </w:rPr>
            </w:pPr>
            <w:r>
              <w:rPr>
                <w:b/>
                <w:bCs/>
                <w:sz w:val="24"/>
                <w:szCs w:val="24"/>
              </w:rPr>
              <w:t>(11)</w:t>
            </w:r>
            <w:r>
              <w:rPr>
                <w:sz w:val="24"/>
                <w:szCs w:val="24"/>
              </w:rPr>
              <w:t xml:space="preserve"> Biểu mẫu, thể thức (Phụ lục mục 25): ban hành kèm sơ đồ quy trình và tối thiểu 09 biểu mẫu thống nhất; rà soát cách viết hoa, dẫn chiếu “khoản, điểm”, dấu câu, thuật ngữ công nghệ.</w:t>
            </w:r>
          </w:p>
        </w:tc>
        <w:tc>
          <w:tcPr>
            <w:tcW w:w="22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132B4A" w14:textId="77777777" w:rsidR="00CB58F2" w:rsidRDefault="00000000">
            <w:pPr>
              <w:jc w:val="both"/>
              <w:rPr>
                <w:sz w:val="24"/>
                <w:szCs w:val="24"/>
              </w:rPr>
            </w:pPr>
            <w:r>
              <w:rPr>
                <w:sz w:val="24"/>
                <w:szCs w:val="24"/>
              </w:rPr>
              <w:lastRenderedPageBreak/>
              <w:t xml:space="preserve">Ghi nhận ý kiến thống nhất chủ trương. Tiếp thu, giải trình từng nội dung như sau (số điều theo dự thảo Quy định hiện hành; nội dung chi tiết tại Bản tổng </w:t>
            </w:r>
            <w:r>
              <w:rPr>
                <w:sz w:val="24"/>
                <w:szCs w:val="24"/>
              </w:rPr>
              <w:lastRenderedPageBreak/>
              <w:t>hợp ý kiến, tiếp thu, giải trình):</w:t>
            </w:r>
          </w:p>
          <w:p w14:paraId="7E709F3A" w14:textId="77777777" w:rsidR="00CB58F2" w:rsidRDefault="00000000">
            <w:pPr>
              <w:jc w:val="both"/>
              <w:rPr>
                <w:sz w:val="24"/>
                <w:szCs w:val="24"/>
              </w:rPr>
            </w:pPr>
            <w:r>
              <w:rPr>
                <w:b/>
                <w:bCs/>
                <w:sz w:val="24"/>
                <w:szCs w:val="24"/>
              </w:rPr>
              <w:t>(1)</w:t>
            </w:r>
            <w:r>
              <w:rPr>
                <w:sz w:val="24"/>
                <w:szCs w:val="24"/>
              </w:rPr>
              <w:t xml:space="preserve"> Ghi nhận; Sở thực hiện đúng trình tự, thủ tục ban hành văn bản quy phạm pháp luật theo quy định;</w:t>
            </w:r>
          </w:p>
          <w:p w14:paraId="4199831C" w14:textId="77777777" w:rsidR="00CB58F2" w:rsidRDefault="00000000">
            <w:pPr>
              <w:jc w:val="both"/>
              <w:rPr>
                <w:sz w:val="24"/>
                <w:szCs w:val="24"/>
              </w:rPr>
            </w:pPr>
            <w:r>
              <w:rPr>
                <w:b/>
                <w:bCs/>
                <w:sz w:val="24"/>
                <w:szCs w:val="24"/>
              </w:rPr>
              <w:t>(2)</w:t>
            </w:r>
            <w:r>
              <w:rPr>
                <w:sz w:val="24"/>
                <w:szCs w:val="24"/>
              </w:rPr>
              <w:t xml:space="preserve"> Tiếp thu một phần: điều chỉnh tên Quy định thành “Quy định về biện pháp, quy trình giám sát, phản ứng nhanh để phòng ngừa, ngăn chặn và khắc phục sự cố về an toàn thực phẩm trên địa bàn Thành phố Hồ Chí Minh”; khoản 1 Điều 3 viện dẫn khoản 17 Điều 2 Luật An toàn thực phẩm; thống nhất tên gọi “Cơ sở dữ liệu” (khoản 3 Điều 3); sử dụng “quản lý nguy cơ” (khoản 2 Điều 20); Điều 23 đổi tên thành “Trách nhiệm của tổ chức, cá nhân có liên quan đến sự cố”. Không tiếp thu việc bổ sung khái niệm riêng “dấu hiệu/nghi ngờ sự cố về an toàn thực phẩm”; chưa tiếp thu quy định chi tiết về nhóm người dùng, phân quyền, nhật ký truy cập, thời hạn lưu trữ (dự thảo chưa có quy định riêng các nội dung này); đơn vị quản trị, cơ chế trao đổi dữ liệu được quy </w:t>
            </w:r>
            <w:r>
              <w:rPr>
                <w:sz w:val="24"/>
                <w:szCs w:val="24"/>
              </w:rPr>
              <w:lastRenderedPageBreak/>
              <w:t>định tại Điều 5 và Điều 20;</w:t>
            </w:r>
          </w:p>
          <w:p w14:paraId="39479992" w14:textId="77777777" w:rsidR="00CB58F2" w:rsidRDefault="00000000">
            <w:pPr>
              <w:jc w:val="both"/>
              <w:rPr>
                <w:sz w:val="24"/>
                <w:szCs w:val="24"/>
              </w:rPr>
            </w:pPr>
            <w:r>
              <w:rPr>
                <w:b/>
                <w:bCs/>
                <w:sz w:val="24"/>
                <w:szCs w:val="24"/>
              </w:rPr>
              <w:t>(3)</w:t>
            </w:r>
            <w:r>
              <w:rPr>
                <w:sz w:val="24"/>
                <w:szCs w:val="24"/>
              </w:rPr>
              <w:t xml:space="preserve"> Tiếp thu một phần: bảo vệ dữ liệu cá nhân được quy định tại khoản 2 Điều 5, khoản 4 Điều 7, khoản 3 Điều 20 và áp dụng chung đối với dữ liệu cập nhật lên Cơ sở dữ liệu, kể cả danh sách người điều trị (Điều 15), hồ sơ điều tra (Điều 16) và hồ sơ vụ việc (Điều 19). Ghi nhận, không tiếp thu việc phân biệt, gộp nội dung cập nhật hồ sơ: khoản 2 Điều 16 quy định hồ sơ điều tra riêng về mảng dịch tễ, xác định nguyên nhân; khoản 2 Điều 19 quy định tổng hợp toàn bộ hồ sơ liên quan vụ việc;</w:t>
            </w:r>
          </w:p>
          <w:p w14:paraId="0ADB4C0F" w14:textId="77777777" w:rsidR="00CB58F2" w:rsidRDefault="00000000">
            <w:pPr>
              <w:jc w:val="both"/>
              <w:rPr>
                <w:sz w:val="24"/>
                <w:szCs w:val="24"/>
              </w:rPr>
            </w:pPr>
            <w:r>
              <w:rPr>
                <w:b/>
                <w:bCs/>
                <w:sz w:val="24"/>
                <w:szCs w:val="24"/>
              </w:rPr>
              <w:t>(4)</w:t>
            </w:r>
            <w:r>
              <w:rPr>
                <w:sz w:val="24"/>
                <w:szCs w:val="24"/>
              </w:rPr>
              <w:t xml:space="preserve"> Tiếp thu một phần: điều chỉnh Điều 6, liệt kê cụ thể các đối tượng thuộc mạng lưới giám sát (khoản 1), không sử dụng tiêu chí “quy mô lớn”; đối tượng giám sát gồm cả bếp ăn tập thể, cơ sở dịch vụ ăn uống và người kinh doanh thức ăn đường phố (điểm b khoản 2);</w:t>
            </w:r>
          </w:p>
          <w:p w14:paraId="1A01A302" w14:textId="77777777" w:rsidR="00CB58F2" w:rsidRDefault="00000000">
            <w:pPr>
              <w:jc w:val="both"/>
              <w:rPr>
                <w:sz w:val="24"/>
                <w:szCs w:val="24"/>
              </w:rPr>
            </w:pPr>
            <w:r>
              <w:rPr>
                <w:b/>
                <w:bCs/>
                <w:sz w:val="24"/>
                <w:szCs w:val="24"/>
              </w:rPr>
              <w:t>(5)</w:t>
            </w:r>
            <w:r>
              <w:rPr>
                <w:sz w:val="24"/>
                <w:szCs w:val="24"/>
              </w:rPr>
              <w:t xml:space="preserve"> Tiếp thu một phần: quy định nội dung thông tin tối thiểu khi tiếp nhận (khoản 2 Điều 7) và việc phân loại nguy cơ, thẩm quyền xử lý </w:t>
            </w:r>
            <w:r>
              <w:rPr>
                <w:sz w:val="24"/>
                <w:szCs w:val="24"/>
              </w:rPr>
              <w:lastRenderedPageBreak/>
              <w:t>(khoản 3 Điều 7); điều chỉnh vai trò Ủy ban nhân dân cấp xã chủ trì tổ chức xử lý sự cố cấp độ 1, việc điều tra, xác minh nguyên nhân và áp dụng biện pháp chuyên môn thực hiện theo thẩm quyền, trình tự pháp luật (khoản 4 Điều 10, khoản 1 Điều 22). Không tiếp thu phụ lục biểu mẫu vì hiện chưa có quy định hiện hành về các biểu mẫu này. Ghi nhận, giữ nguyên tiêu chí phân loại cấp độ tại Điều 10 vì dự thảo phân loại trên cơ sở tính chất, phạm vi, mức độ ảnh hưởng và các yếu tố nguy cơ, đã kế thừa tiêu chí tại Điều 5 Quy chế ban hành kèm Quyết định số 5976/QĐ-UBND ngày 16/9/2026, không chỉ căn cứ số lượng người mắc;</w:t>
            </w:r>
          </w:p>
          <w:p w14:paraId="4BD7491C" w14:textId="77777777" w:rsidR="00CB58F2" w:rsidRDefault="00000000">
            <w:pPr>
              <w:jc w:val="both"/>
              <w:rPr>
                <w:sz w:val="24"/>
                <w:szCs w:val="24"/>
              </w:rPr>
            </w:pPr>
            <w:r>
              <w:rPr>
                <w:b/>
                <w:bCs/>
                <w:sz w:val="24"/>
                <w:szCs w:val="24"/>
              </w:rPr>
              <w:t>(6)</w:t>
            </w:r>
            <w:r>
              <w:rPr>
                <w:sz w:val="24"/>
                <w:szCs w:val="24"/>
              </w:rPr>
              <w:t xml:space="preserve"> Tiếp thu: điều chỉnh Điều 8, Điều 9, không còn quy định ứng dụng trí tuệ nhân tạo, dữ liệu lớn, cảnh báo tự động; dấu hiệu kích hoạt cảnh báo sớm dựa trên kết quả kiểm nghiệm mẫu và dữ liệu cơ sở y tế về trường hợp có triệu chứng nghi ngờ liên quan đến thực phẩm (khoản 1 Điều 9); ứng dụng công </w:t>
            </w:r>
            <w:r>
              <w:rPr>
                <w:sz w:val="24"/>
                <w:szCs w:val="24"/>
              </w:rPr>
              <w:lastRenderedPageBreak/>
              <w:t>nghệ thực hiện từng bước (khoản 4 Điều 4, khoản 2 Điều 20); sử dụng thuật ngữ “quản lý nguy cơ” (khoản 2 Điều 20);</w:t>
            </w:r>
          </w:p>
          <w:p w14:paraId="1D1C98A8" w14:textId="77777777" w:rsidR="00CB58F2" w:rsidRDefault="00000000">
            <w:pPr>
              <w:jc w:val="both"/>
              <w:rPr>
                <w:sz w:val="24"/>
                <w:szCs w:val="24"/>
              </w:rPr>
            </w:pPr>
            <w:r>
              <w:rPr>
                <w:b/>
                <w:bCs/>
                <w:sz w:val="24"/>
                <w:szCs w:val="24"/>
              </w:rPr>
              <w:t>(7)</w:t>
            </w:r>
            <w:r>
              <w:rPr>
                <w:sz w:val="24"/>
                <w:szCs w:val="24"/>
              </w:rPr>
              <w:t xml:space="preserve"> Tiếp thu một phần: điều chỉnh Điều 13 theo hướng triển khai hoạt động phản ứng ban đầu trong 02 giờ và báo cáo nhanh kết quả xử lý ban đầu trong 24 giờ; mốc báo cáo của cấp xã tại khoản 1 Điều 11 đã được quy định tại khoản 1, 2 Điều 13; bỏ cụm “check-in định vị”, thay bằng xác nhận tiếp nhận lệnh và cập nhật trạng thái có mặt tại hiện trường trên hệ thống công vụ (khoản 4 Điều 12). Ghi nhận, không tiếp thu việc ghi riêng các viện chuyên ngành vào thành phần Đội cấp Thành phố vì khoản 1 Điều 12 đã quy định “các cơ quan chuyên môn cần thiết khác”, đồng thời cơ cấu tổ chức mỗi địa phương khác nhau;</w:t>
            </w:r>
          </w:p>
          <w:p w14:paraId="6D192491" w14:textId="77777777" w:rsidR="00CB58F2" w:rsidRDefault="00000000">
            <w:pPr>
              <w:jc w:val="both"/>
              <w:rPr>
                <w:sz w:val="24"/>
                <w:szCs w:val="24"/>
              </w:rPr>
            </w:pPr>
            <w:r>
              <w:rPr>
                <w:b/>
                <w:bCs/>
                <w:sz w:val="24"/>
                <w:szCs w:val="24"/>
              </w:rPr>
              <w:t>(8)</w:t>
            </w:r>
            <w:r>
              <w:rPr>
                <w:sz w:val="24"/>
                <w:szCs w:val="24"/>
              </w:rPr>
              <w:t xml:space="preserve"> Tiếp thu một phần: điều tra dịch tễ, lấy mẫu, xét nghiệm thực hiện theo quy trình chuyên môn, phù hợp tính chất, mức độ sự cố (khoản 1 Điều 16); chưa bổ sung nội dung tổng </w:t>
            </w:r>
            <w:r>
              <w:rPr>
                <w:sz w:val="24"/>
                <w:szCs w:val="24"/>
              </w:rPr>
              <w:lastRenderedPageBreak/>
              <w:t>hợp dữ liệu dịch tễ, lâm sàng, truy xuất nguồn gốc, kết quả kiểm nghiệm và việc xác định hướng điều tra tiếp theo khi chưa đủ bằng chứng. Ghi nhận ý kiến về lấy mẫu bệnh phẩm, phối hợp bảo quản, vận chuyển, bàn giao mẫu, truy xuất hai chiều: giữ nguyên Điều 14 vì việc áp dụng biện pháp căn cứ tính chất, mức độ sự cố, đồng thời Điều 21 đã quy định trách nhiệm phối hợp của Sở Y tế và các sở, ngành liên quan;</w:t>
            </w:r>
          </w:p>
          <w:p w14:paraId="789CD013" w14:textId="77777777" w:rsidR="00CB58F2" w:rsidRDefault="00000000">
            <w:pPr>
              <w:jc w:val="both"/>
              <w:rPr>
                <w:sz w:val="24"/>
                <w:szCs w:val="24"/>
              </w:rPr>
            </w:pPr>
            <w:r>
              <w:rPr>
                <w:b/>
                <w:bCs/>
                <w:sz w:val="24"/>
                <w:szCs w:val="24"/>
              </w:rPr>
              <w:t>(9)</w:t>
            </w:r>
            <w:r>
              <w:rPr>
                <w:sz w:val="24"/>
                <w:szCs w:val="24"/>
              </w:rPr>
              <w:t xml:space="preserve"> Ghi nhận, không tiếp thu: giữ cụm “định hướng thông tin, hạn chế tin đồn sai lệch và ổn định tâm lý cộng đồng” tại khoản 3 Điều 18 khi cơ quan chủ trì điều tra phối hợp với cơ quan báo chí, truyền thông cung cấp thông tin chính thức; khoản 1 Điều 18 quy định công bố thông tin đúng thẩm quyền, kịp thời, chính xác, khách quan, minh bạch; điểm b khoản 2 Điều 18 quy định phát hành thông điệp cảnh báo, khuyến cáo phòng ngừa;</w:t>
            </w:r>
          </w:p>
          <w:p w14:paraId="32E75D6B" w14:textId="77777777" w:rsidR="00CB58F2" w:rsidRDefault="00000000">
            <w:pPr>
              <w:jc w:val="both"/>
              <w:rPr>
                <w:sz w:val="24"/>
                <w:szCs w:val="24"/>
              </w:rPr>
            </w:pPr>
            <w:r>
              <w:rPr>
                <w:b/>
                <w:bCs/>
                <w:sz w:val="24"/>
                <w:szCs w:val="24"/>
              </w:rPr>
              <w:t>(10)</w:t>
            </w:r>
            <w:r>
              <w:rPr>
                <w:sz w:val="24"/>
                <w:szCs w:val="24"/>
              </w:rPr>
              <w:t xml:space="preserve"> Ghi nhận, không tiếp thu: dự thảo đã quy định trách nhiệm của Sở </w:t>
            </w:r>
            <w:r>
              <w:rPr>
                <w:sz w:val="24"/>
                <w:szCs w:val="24"/>
              </w:rPr>
              <w:lastRenderedPageBreak/>
              <w:t>An toàn thực phẩm (Điều 20), các sở, ngành (Điều 21), Ủy ban nhân dân cấp xã (Điều 22); trách nhiệm của cơ sở y tế, cơ sở giáo dục, cơ sở kiểm nghiệm, Ban Quản lý các Khu chế xuất và Công nghiệp, Ban Quản lý chợ được quy định chung trong mạng lưới giám sát (khoản 3 Điều 6); dự thảo chưa tách riêng điều khoản trách nhiệm cho từng đối tượng, chưa nêu riêng các viện chuyên ngành, chưa quy định riêng về tiếp nhận mẫu khẩn cấp. Trách nhiệm thu hồi thực phẩm đã được nêu tại khoản 2 Điều 14 (ngừng sử dụng, lưu thông, niêm phong, thu hồi, bảo quản hoặc tiêu hủy theo thẩm quyền và quy định pháp luật). Điều 24 quy định kinh phí từ ngân sách nhà nước theo phân cấp hiện hành và các nguồn hợp pháp khác, chưa cụ thể hóa kinh phí lấy mẫu, vận chuyển mẫu, kiểm nghiệm khẩn cấp;</w:t>
            </w:r>
          </w:p>
          <w:p w14:paraId="70F796BA" w14:textId="77777777" w:rsidR="00CB58F2" w:rsidRDefault="00000000">
            <w:pPr>
              <w:jc w:val="both"/>
              <w:rPr>
                <w:sz w:val="24"/>
                <w:szCs w:val="24"/>
              </w:rPr>
            </w:pPr>
            <w:r>
              <w:rPr>
                <w:b/>
                <w:bCs/>
                <w:sz w:val="24"/>
                <w:szCs w:val="24"/>
              </w:rPr>
              <w:t>(11)</w:t>
            </w:r>
            <w:r>
              <w:rPr>
                <w:sz w:val="24"/>
                <w:szCs w:val="24"/>
              </w:rPr>
              <w:t xml:space="preserve"> Tiếp thu một phần: đã bỏ cụm “check-in định vị” (khoản 4 Điều 12); khoản 2 Điều 16 đã có dấu chấm cuối </w:t>
            </w:r>
            <w:r>
              <w:rPr>
                <w:sz w:val="24"/>
                <w:szCs w:val="24"/>
              </w:rPr>
              <w:lastRenderedPageBreak/>
              <w:t>câu; điều chỉnh cách viết “Khoản”/“khoản”, “Quy định này”/“quy định này”; thông tin tối thiểu khi tiếp nhận tại khoản 2 Điều 7, báo cáo nhanh theo mốc thời gian tại Điều 13; chưa ban hành kèm phụ lục sơ đồ quy trình và bộ biểu mẫu. Sở sẽ rà soát, thống nhất cách viết và thuật ngữ công nghệ (ví dụ “SMS” tại khoản 4 Điều 12) trước khi trình ban hành.</w:t>
            </w:r>
          </w:p>
        </w:tc>
      </w:tr>
      <w:tr w:rsidR="005E1808" w:rsidRPr="0000007D" w14:paraId="26B2B5D9" w14:textId="77777777">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D5EB89" w14:textId="77777777" w:rsidR="005E1808" w:rsidRPr="0000007D" w:rsidRDefault="00000000" w:rsidP="0000007D">
            <w:pPr>
              <w:jc w:val="center"/>
              <w:rPr>
                <w:sz w:val="24"/>
                <w:szCs w:val="24"/>
              </w:rPr>
            </w:pPr>
            <w:r>
              <w:rPr>
                <w:sz w:val="24"/>
                <w:szCs w:val="24"/>
              </w:rPr>
              <w:lastRenderedPageBreak/>
              <w:t>2</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B9CD1E" w14:textId="77777777" w:rsidR="005E1808" w:rsidRPr="0000007D" w:rsidRDefault="00000000" w:rsidP="0000007D">
            <w:pPr>
              <w:rPr>
                <w:sz w:val="24"/>
                <w:szCs w:val="24"/>
              </w:rPr>
            </w:pPr>
            <w:r>
              <w:rPr>
                <w:sz w:val="24"/>
                <w:szCs w:val="24"/>
              </w:rPr>
              <w:t>Bộ Công Thương (Cục Công nghiệp)</w:t>
            </w:r>
          </w:p>
        </w:tc>
        <w:tc>
          <w:tcPr>
            <w:tcW w:w="1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FEFCE5" w14:textId="77777777" w:rsidR="005E1808" w:rsidRPr="0000007D" w:rsidRDefault="00000000" w:rsidP="00E00CC2">
            <w:pPr>
              <w:jc w:val="center"/>
              <w:rPr>
                <w:sz w:val="24"/>
                <w:szCs w:val="24"/>
              </w:rPr>
            </w:pPr>
            <w:r>
              <w:rPr>
                <w:sz w:val="24"/>
                <w:szCs w:val="24"/>
              </w:rPr>
              <w:t>Công văn số 448/CN-TDTP ngày 17/9/2026.</w:t>
            </w:r>
          </w:p>
        </w:tc>
        <w:tc>
          <w:tcPr>
            <w:tcW w:w="2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38C6EB" w14:textId="77777777" w:rsidR="005E1808" w:rsidRPr="0000007D" w:rsidRDefault="00000000" w:rsidP="0000007D">
            <w:pPr>
              <w:jc w:val="both"/>
              <w:rPr>
                <w:sz w:val="24"/>
                <w:szCs w:val="24"/>
              </w:rPr>
            </w:pPr>
            <w:r>
              <w:rPr>
                <w:sz w:val="24"/>
                <w:szCs w:val="24"/>
              </w:rPr>
              <w:t>(1) Việc ban hành Quy định theo phân giao tại khoản 3 Điều 52 và khoản 3 Điều 53 Luật An toàn thực phẩm là cần thiết để có cơ chế thống nhất xử lý sự cố; đề nghị thực hiện đúng trình tự, thủ tục ban hành văn bản;</w:t>
            </w:r>
          </w:p>
          <w:p w14:paraId="7833E43C" w14:textId="77777777" w:rsidR="005E1808" w:rsidRPr="0000007D" w:rsidRDefault="00000000" w:rsidP="0000007D">
            <w:pPr>
              <w:jc w:val="both"/>
              <w:rPr>
                <w:sz w:val="24"/>
                <w:szCs w:val="24"/>
              </w:rPr>
            </w:pPr>
            <w:r>
              <w:rPr>
                <w:sz w:val="24"/>
                <w:szCs w:val="24"/>
              </w:rPr>
              <w:t>(2) Trẻ em có sức đề kháng yếu, hậu quả sự cố có thể ảnh hưởng lâu dài, trong khi dự thảo phân loại sự cố tại cơ sở giáo dục mầm non, tiểu học, trung học cơ sở ở cấp độ 1 và giao Ủy ban nhân dân cấp xã chủ trì; đề nghị rà soát, làm rõ cơ sở tham mưu, đề xuất 03 cấp độ để cơ quan có thẩm quyền xem xét, quyết định;</w:t>
            </w:r>
          </w:p>
          <w:p w14:paraId="79C7BAD8" w14:textId="77777777" w:rsidR="005E1808" w:rsidRPr="0000007D" w:rsidRDefault="00000000" w:rsidP="0000007D">
            <w:pPr>
              <w:jc w:val="both"/>
              <w:rPr>
                <w:sz w:val="24"/>
                <w:szCs w:val="24"/>
              </w:rPr>
            </w:pPr>
            <w:r>
              <w:rPr>
                <w:sz w:val="24"/>
                <w:szCs w:val="24"/>
              </w:rPr>
              <w:t xml:space="preserve">(3) Mạng lưới giám sát tại Điều 6 cơ bản bao quát khu vực nguy cơ cao; đề nghị cân nhắc bổ sung đối tượng khác như cơ sở cung cấp suất ăn công nghiệp, hệ </w:t>
            </w:r>
            <w:r>
              <w:rPr>
                <w:sz w:val="24"/>
                <w:szCs w:val="24"/>
              </w:rPr>
              <w:lastRenderedPageBreak/>
              <w:t>thống siêu thị, trung tâm thương mại.</w:t>
            </w:r>
          </w:p>
        </w:tc>
        <w:tc>
          <w:tcPr>
            <w:tcW w:w="22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57E3C8" w14:textId="77777777" w:rsidR="005E1808" w:rsidRPr="0000007D" w:rsidRDefault="00000000" w:rsidP="0000007D">
            <w:pPr>
              <w:jc w:val="both"/>
              <w:rPr>
                <w:sz w:val="24"/>
                <w:szCs w:val="24"/>
              </w:rPr>
            </w:pPr>
            <w:r>
              <w:rPr>
                <w:b/>
                <w:bCs/>
                <w:sz w:val="24"/>
                <w:szCs w:val="24"/>
              </w:rPr>
              <w:lastRenderedPageBreak/>
              <w:t>(1)</w:t>
            </w:r>
            <w:r>
              <w:rPr>
                <w:sz w:val="24"/>
                <w:szCs w:val="24"/>
              </w:rPr>
              <w:t xml:space="preserve"> Ghi nhận; Sở thực hiện đúng trình tự, thủ tục xây dựng, thẩm định, ban hành văn bản và đã dẫn chiếu khoản 3 Điều 52, khoản 3 Điều 53 Luật An toàn thực phẩm tại Tờ trình;</w:t>
            </w:r>
          </w:p>
          <w:p w14:paraId="0CCA5E7B" w14:textId="77777777" w:rsidR="0008108A" w:rsidRDefault="00000000" w:rsidP="0008108A">
            <w:pPr>
              <w:jc w:val="both"/>
              <w:rPr>
                <w:sz w:val="24"/>
                <w:szCs w:val="24"/>
              </w:rPr>
            </w:pPr>
            <w:r>
              <w:rPr>
                <w:b/>
                <w:bCs/>
                <w:sz w:val="24"/>
                <w:szCs w:val="24"/>
              </w:rPr>
              <w:t>(2)</w:t>
            </w:r>
            <w:r>
              <w:rPr>
                <w:sz w:val="24"/>
                <w:szCs w:val="24"/>
              </w:rPr>
              <w:t xml:space="preserve"> Ghi nhận, không tiếp thu; giải trình: giữ 03 cấp độ do tiêu chí dựa vào địa điểm, phạm vi, hậu quả dễ nhận biết khi tiếp nhận thông tin và thống nhất với Điều 5 Quyết định số 5976/QĐ-UBND ngày 16/9/2026; sự cố tại cơ sở giáo dục dưới cấp trung học phổ thông thuộc cấp độ 1 nhưng chuyển lên cấp độ 2 (Sở chủ trì) khi có trường hợp tử vong hoặc liên quan từ 02 phường, </w:t>
            </w:r>
            <w:r>
              <w:rPr>
                <w:sz w:val="24"/>
                <w:szCs w:val="24"/>
              </w:rPr>
              <w:lastRenderedPageBreak/>
              <w:t xml:space="preserve">xã, đặc khu trở lên (khoản 2 Điều 10); cấp xã báo cáo Sở trong 02 giờ, Sở điều phối, huy động lực lượng khi vượt khả năng xử lý (khoản 1, khoản 3 Điều 11); cơ sở giáo dục thuộc các đầu mối tập trung nguy cơ cao của mạng lưới giám sát (điểm c khoản 1 Điều 6). </w:t>
            </w:r>
          </w:p>
          <w:p w14:paraId="4A973AAC" w14:textId="77777777" w:rsidR="005E1808" w:rsidRPr="0000007D" w:rsidRDefault="00000000" w:rsidP="0008108A">
            <w:pPr>
              <w:jc w:val="both"/>
              <w:rPr>
                <w:sz w:val="24"/>
                <w:szCs w:val="24"/>
              </w:rPr>
            </w:pPr>
            <w:r>
              <w:rPr>
                <w:b/>
                <w:bCs/>
                <w:sz w:val="24"/>
                <w:szCs w:val="24"/>
              </w:rPr>
              <w:t>(3)</w:t>
            </w:r>
            <w:r>
              <w:rPr>
                <w:sz w:val="24"/>
                <w:szCs w:val="24"/>
              </w:rPr>
              <w:t xml:space="preserve"> Tiếp thu một phần: siêu thị, trung tâm thương mại đã có tại điểm c khoản 1 Điều 6.</w:t>
            </w:r>
          </w:p>
        </w:tc>
      </w:tr>
      <w:tr w:rsidR="005E1808" w:rsidRPr="0000007D" w14:paraId="30960EE5" w14:textId="77777777">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F705BF" w14:textId="77777777" w:rsidR="005E1808" w:rsidRPr="0000007D" w:rsidRDefault="00000000" w:rsidP="0000007D">
            <w:pPr>
              <w:jc w:val="center"/>
              <w:rPr>
                <w:sz w:val="24"/>
                <w:szCs w:val="24"/>
              </w:rPr>
            </w:pPr>
            <w:r>
              <w:rPr>
                <w:sz w:val="24"/>
                <w:szCs w:val="24"/>
              </w:rPr>
              <w:lastRenderedPageBreak/>
              <w:t>3</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A447E8" w14:textId="77777777" w:rsidR="005E1808" w:rsidRPr="0000007D" w:rsidRDefault="00000000" w:rsidP="0000007D">
            <w:pPr>
              <w:rPr>
                <w:sz w:val="24"/>
                <w:szCs w:val="24"/>
              </w:rPr>
            </w:pPr>
            <w:r>
              <w:rPr>
                <w:sz w:val="24"/>
                <w:szCs w:val="24"/>
              </w:rPr>
              <w:t>Bộ Nông nghiệp và Môi trường (Cục Chất lượng, Chế biến và Phát triển thị trường)</w:t>
            </w:r>
          </w:p>
        </w:tc>
        <w:tc>
          <w:tcPr>
            <w:tcW w:w="1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6748C1" w14:textId="77777777" w:rsidR="005E1808" w:rsidRPr="0000007D" w:rsidRDefault="00000000" w:rsidP="0000007D">
            <w:pPr>
              <w:jc w:val="center"/>
              <w:rPr>
                <w:sz w:val="24"/>
                <w:szCs w:val="24"/>
              </w:rPr>
            </w:pPr>
            <w:r>
              <w:rPr>
                <w:sz w:val="24"/>
                <w:szCs w:val="24"/>
              </w:rPr>
              <w:t>Công văn số 2426/CCPT-ATTP ngày 02/10/2026 của Cục Chất lượng, Chế biến và Phát triển thị trường, trả lời Công văn số 6384 và số 5876 của Sở An toàn thực phẩm.</w:t>
            </w:r>
          </w:p>
        </w:tc>
        <w:tc>
          <w:tcPr>
            <w:tcW w:w="2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5ED3CE" w14:textId="77777777" w:rsidR="005E1808" w:rsidRPr="0000007D" w:rsidRDefault="00000000" w:rsidP="0000007D">
            <w:pPr>
              <w:jc w:val="both"/>
              <w:rPr>
                <w:sz w:val="24"/>
                <w:szCs w:val="24"/>
              </w:rPr>
            </w:pPr>
            <w:r>
              <w:rPr>
                <w:sz w:val="24"/>
                <w:szCs w:val="24"/>
              </w:rPr>
              <w:t>Dự thảo đã xây dựng khung quy định tương đối đầy đủ về giám sát, cảnh báo sớm, tiếp nhận thông tin, phản ứng nhanh, điều tra, xử lý, khắc phục sự cố an toàn thực phẩm.</w:t>
            </w:r>
          </w:p>
          <w:p w14:paraId="7DF04872" w14:textId="77777777" w:rsidR="005E1808" w:rsidRPr="0000007D" w:rsidRDefault="00000000" w:rsidP="0000007D">
            <w:pPr>
              <w:jc w:val="both"/>
              <w:rPr>
                <w:sz w:val="24"/>
                <w:szCs w:val="24"/>
              </w:rPr>
            </w:pPr>
            <w:r>
              <w:rPr>
                <w:sz w:val="24"/>
                <w:szCs w:val="24"/>
              </w:rPr>
              <w:t>Đề nghị rà soát để thống nhất với Luật An toàn thực phẩm và pháp luật hiện hành về thẩm quyền của Ủy ban nhân dân Thành phố, các sở, Ủy ban nhân dân cấp xã; tránh phát sinh thẩm quyền mới hoặc giao thoa, cụ thể:</w:t>
            </w:r>
          </w:p>
          <w:p w14:paraId="0618299D" w14:textId="77777777" w:rsidR="005E1808" w:rsidRPr="0000007D" w:rsidRDefault="00000000" w:rsidP="0000007D">
            <w:pPr>
              <w:jc w:val="both"/>
              <w:rPr>
                <w:sz w:val="24"/>
                <w:szCs w:val="24"/>
              </w:rPr>
            </w:pPr>
            <w:r>
              <w:rPr>
                <w:sz w:val="24"/>
                <w:szCs w:val="24"/>
              </w:rPr>
              <w:t>(1) Quy định rõ đầu mối chủ trì, cơ chế phối hợp khi sự cố liên quan nhiều nhóm sản phẩm, nhiều địa bàn, nhiều cơ quan quản lý; cơ chế thông báo cho địa phương khác khi sự cố có yếu tố liên tỉnh;</w:t>
            </w:r>
          </w:p>
          <w:p w14:paraId="68012A99" w14:textId="77777777" w:rsidR="005E1808" w:rsidRPr="0000007D" w:rsidRDefault="00000000" w:rsidP="0000007D">
            <w:pPr>
              <w:jc w:val="both"/>
              <w:rPr>
                <w:sz w:val="24"/>
                <w:szCs w:val="24"/>
              </w:rPr>
            </w:pPr>
            <w:r>
              <w:rPr>
                <w:sz w:val="24"/>
                <w:szCs w:val="24"/>
              </w:rPr>
              <w:t xml:space="preserve">(2) Làm rõ cơ quan quản lý, trách nhiệm cập nhật, quyền truy cập, chia sẻ, bảo mật, kết nối dữ liệu và trách nhiệm khi dữ liệu chưa kết </w:t>
            </w:r>
            <w:r>
              <w:rPr>
                <w:sz w:val="24"/>
                <w:szCs w:val="24"/>
              </w:rPr>
              <w:lastRenderedPageBreak/>
              <w:t>nối hoặc hệ thống chưa vận hành đối với Hệ thống thông tin và cơ sở dữ liệu dùng chung;</w:t>
            </w:r>
          </w:p>
          <w:p w14:paraId="0FCC2320" w14:textId="77777777" w:rsidR="005E1808" w:rsidRPr="0000007D" w:rsidRDefault="00000000" w:rsidP="0000007D">
            <w:pPr>
              <w:jc w:val="both"/>
              <w:rPr>
                <w:sz w:val="24"/>
                <w:szCs w:val="24"/>
              </w:rPr>
            </w:pPr>
            <w:r>
              <w:rPr>
                <w:sz w:val="24"/>
                <w:szCs w:val="24"/>
              </w:rPr>
              <w:t>(3) Rà soát biện pháp ngăn chặn khẩn cấp tại Điều 14 (tạm đình chỉ hoạt động, ngừng lưu thông, niêm phong, thu hồi, tiêu hủy, hạn chế phân phối) để chỉ áp dụng trong phạm vi thẩm quyền, đúng trình tự, thủ tục theo Nghị định số 115/2018/NĐ-CP được sửa đổi, bổ sung bởi Nghị định số 124/2021/NĐ-CP;</w:t>
            </w:r>
          </w:p>
          <w:p w14:paraId="256C398D" w14:textId="77777777" w:rsidR="005E1808" w:rsidRPr="0000007D" w:rsidRDefault="00000000" w:rsidP="0000007D">
            <w:pPr>
              <w:jc w:val="both"/>
              <w:rPr>
                <w:sz w:val="24"/>
                <w:szCs w:val="24"/>
              </w:rPr>
            </w:pPr>
            <w:r>
              <w:rPr>
                <w:sz w:val="24"/>
                <w:szCs w:val="24"/>
              </w:rPr>
              <w:t>(4) Bổ sung cơ chế đánh giá sau sự cố (nguyên nhân, trách nhiệm, hiệu quả biện pháp kiểm soát, biện pháp phòng ngừa tái diễn) làm cơ sở điều chỉnh kế hoạch giám sát và quản lý nguy cơ.</w:t>
            </w:r>
          </w:p>
        </w:tc>
        <w:tc>
          <w:tcPr>
            <w:tcW w:w="22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E88F2B" w14:textId="77777777" w:rsidR="005E1808" w:rsidRPr="0000007D" w:rsidRDefault="00000000" w:rsidP="0000007D">
            <w:pPr>
              <w:jc w:val="both"/>
              <w:rPr>
                <w:sz w:val="24"/>
                <w:szCs w:val="24"/>
              </w:rPr>
            </w:pPr>
            <w:r>
              <w:rPr>
                <w:sz w:val="24"/>
                <w:szCs w:val="24"/>
              </w:rPr>
              <w:lastRenderedPageBreak/>
              <w:t>Tiếp thu, ghi nhận như sau:</w:t>
            </w:r>
          </w:p>
          <w:p w14:paraId="4BC94042" w14:textId="77777777" w:rsidR="005E1808" w:rsidRPr="0000007D" w:rsidRDefault="00000000" w:rsidP="0000007D">
            <w:pPr>
              <w:jc w:val="both"/>
              <w:rPr>
                <w:sz w:val="24"/>
                <w:szCs w:val="24"/>
              </w:rPr>
            </w:pPr>
            <w:r>
              <w:rPr>
                <w:b/>
                <w:bCs/>
                <w:sz w:val="24"/>
                <w:szCs w:val="24"/>
              </w:rPr>
              <w:t>(1)</w:t>
            </w:r>
            <w:r>
              <w:rPr>
                <w:sz w:val="24"/>
                <w:szCs w:val="24"/>
              </w:rPr>
              <w:t xml:space="preserve"> Ghi nhận; dự thảo đã quy định đầu mối chủ trì, cơ chế phối hợp (khoản 2, khoản 4 Điều 10; khoản 3 Điều 11; khoản 1 Điều 20); tiếp thu bổ sung thông báo cho địa phương liên quan khi sự cố có yếu tố liên tỉnh (khoản 4 Điều 18);</w:t>
            </w:r>
          </w:p>
          <w:p w14:paraId="02B30370" w14:textId="77777777" w:rsidR="005E1808" w:rsidRPr="0000007D" w:rsidRDefault="00000000" w:rsidP="0000007D">
            <w:pPr>
              <w:jc w:val="both"/>
              <w:rPr>
                <w:sz w:val="24"/>
                <w:szCs w:val="24"/>
              </w:rPr>
            </w:pPr>
            <w:r>
              <w:rPr>
                <w:b/>
                <w:bCs/>
                <w:sz w:val="24"/>
                <w:szCs w:val="24"/>
              </w:rPr>
              <w:t>(2)</w:t>
            </w:r>
            <w:r>
              <w:rPr>
                <w:sz w:val="24"/>
                <w:szCs w:val="24"/>
              </w:rPr>
              <w:t xml:space="preserve"> Làm rõ trách nhiệm quản lý, cập nhật, truy cập, chia sẻ, bảo mật và kết nối dữ liệu tại Điều 5 và khoản 2 Điều 21;</w:t>
            </w:r>
          </w:p>
          <w:p w14:paraId="2897A2E6" w14:textId="77777777" w:rsidR="005E1808" w:rsidRPr="0000007D" w:rsidRDefault="00000000" w:rsidP="0000007D">
            <w:pPr>
              <w:jc w:val="both"/>
              <w:rPr>
                <w:sz w:val="24"/>
                <w:szCs w:val="24"/>
              </w:rPr>
            </w:pPr>
            <w:r>
              <w:rPr>
                <w:b/>
                <w:bCs/>
                <w:sz w:val="24"/>
                <w:szCs w:val="24"/>
              </w:rPr>
              <w:t>(3)</w:t>
            </w:r>
            <w:r>
              <w:rPr>
                <w:sz w:val="24"/>
                <w:szCs w:val="24"/>
              </w:rPr>
              <w:t xml:space="preserve"> Rà soát Điều 14, đối chiếu Nghị định số 115/2018/NĐ-CP (sửa đổi, bổ sung bởi Nghị định số 124/2021/NĐ-CP), bảo đảm chỉ áp dụng trong phạm vi thẩm </w:t>
            </w:r>
            <w:r>
              <w:rPr>
                <w:sz w:val="24"/>
                <w:szCs w:val="24"/>
              </w:rPr>
              <w:lastRenderedPageBreak/>
              <w:t>quyền và theo đúng trình tự, thủ tục;</w:t>
            </w:r>
          </w:p>
          <w:p w14:paraId="5C5128C6" w14:textId="77777777" w:rsidR="005E1808" w:rsidRPr="0000007D" w:rsidRDefault="00000000" w:rsidP="0000007D">
            <w:pPr>
              <w:jc w:val="both"/>
              <w:rPr>
                <w:sz w:val="24"/>
                <w:szCs w:val="24"/>
              </w:rPr>
            </w:pPr>
            <w:r>
              <w:rPr>
                <w:b/>
                <w:bCs/>
                <w:sz w:val="24"/>
                <w:szCs w:val="24"/>
              </w:rPr>
              <w:t>(4)</w:t>
            </w:r>
            <w:r>
              <w:rPr>
                <w:sz w:val="24"/>
                <w:szCs w:val="24"/>
              </w:rPr>
              <w:t xml:space="preserve"> Ghi nhận; nội dung đánh giá sau sự cố đã được quy định tại khoản 1 Điều 19 và khoản 7 Điều 20.</w:t>
            </w:r>
          </w:p>
        </w:tc>
      </w:tr>
      <w:tr w:rsidR="005E1808" w:rsidRPr="0000007D" w14:paraId="25D6775E" w14:textId="77777777">
        <w:tc>
          <w:tcPr>
            <w:tcW w:w="62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C62E4D" w14:textId="77777777" w:rsidR="005E1808" w:rsidRPr="0000007D" w:rsidRDefault="00000000" w:rsidP="0000007D">
            <w:pPr>
              <w:jc w:val="center"/>
              <w:rPr>
                <w:sz w:val="24"/>
                <w:szCs w:val="24"/>
              </w:rPr>
            </w:pPr>
            <w:r>
              <w:rPr>
                <w:sz w:val="24"/>
                <w:szCs w:val="24"/>
              </w:rPr>
              <w:lastRenderedPageBreak/>
              <w:t>4</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EB01E9" w14:textId="77777777" w:rsidR="005E1808" w:rsidRPr="0000007D" w:rsidRDefault="00000000" w:rsidP="0000007D">
            <w:pPr>
              <w:rPr>
                <w:sz w:val="24"/>
                <w:szCs w:val="24"/>
              </w:rPr>
            </w:pPr>
            <w:r>
              <w:rPr>
                <w:sz w:val="24"/>
                <w:szCs w:val="24"/>
              </w:rPr>
              <w:t>Ủy ban Mặt trận Tổ quốc Việt Nam Thành phố</w:t>
            </w:r>
          </w:p>
        </w:tc>
        <w:tc>
          <w:tcPr>
            <w:tcW w:w="19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B51B7D" w14:textId="77777777" w:rsidR="005E1808" w:rsidRPr="0000007D" w:rsidRDefault="00000000" w:rsidP="0000007D">
            <w:pPr>
              <w:jc w:val="center"/>
              <w:rPr>
                <w:sz w:val="24"/>
                <w:szCs w:val="24"/>
              </w:rPr>
            </w:pPr>
            <w:r>
              <w:rPr>
                <w:sz w:val="24"/>
                <w:szCs w:val="24"/>
              </w:rPr>
              <w:t>Văn bản số 2344/MTTQ-BTT ngày 21/9/2026 của Ban Thường trực Ủy ban Mặt trận Tổ quốc Việt Nam Thành phố, trả lời Công văn số 5876.</w:t>
            </w:r>
          </w:p>
        </w:tc>
        <w:tc>
          <w:tcPr>
            <w:tcW w:w="2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EC6E11" w14:textId="77777777" w:rsidR="005E1808" w:rsidRPr="0000007D" w:rsidRDefault="00000000" w:rsidP="0000007D">
            <w:pPr>
              <w:jc w:val="both"/>
              <w:rPr>
                <w:sz w:val="24"/>
                <w:szCs w:val="24"/>
              </w:rPr>
            </w:pPr>
            <w:r>
              <w:rPr>
                <w:sz w:val="24"/>
                <w:szCs w:val="24"/>
              </w:rPr>
              <w:t>Nhận thấy việc ban hành Quy định là cần thiết, nhằm cụ thể hóa thẩm quyền được giao tại điểm a khoản 2 Điều 29 Luật Phát triển đô thị. Góp ý cụ thể:</w:t>
            </w:r>
          </w:p>
          <w:p w14:paraId="29474BFB" w14:textId="77777777" w:rsidR="005E1808" w:rsidRPr="0000007D" w:rsidRDefault="00000000" w:rsidP="0000007D">
            <w:pPr>
              <w:jc w:val="both"/>
              <w:rPr>
                <w:sz w:val="24"/>
                <w:szCs w:val="24"/>
              </w:rPr>
            </w:pPr>
            <w:r>
              <w:rPr>
                <w:sz w:val="24"/>
                <w:szCs w:val="24"/>
              </w:rPr>
              <w:t>(1) Đề nghị quy định chi tiết hơn cơ chế phối hợp liên ngành giữa Sở An toàn thực phẩm với Công an Thành phố, Sở Y tế, Quản lý thị trường và Ủy ban nhân dân cấp xã trong tiếp nhận thông tin, truy xuất nguồn gốc, lấy mẫu kiểm nghiệm, xử lý nhanh sự cố;</w:t>
            </w:r>
          </w:p>
          <w:p w14:paraId="2F3AB2CD" w14:textId="77777777" w:rsidR="005E1808" w:rsidRPr="0000007D" w:rsidRDefault="00000000" w:rsidP="0000007D">
            <w:pPr>
              <w:jc w:val="both"/>
              <w:rPr>
                <w:sz w:val="24"/>
                <w:szCs w:val="24"/>
              </w:rPr>
            </w:pPr>
            <w:r>
              <w:rPr>
                <w:sz w:val="24"/>
                <w:szCs w:val="24"/>
              </w:rPr>
              <w:t>(2) Quy định mốc “thời gian vàng” tính bằng giờ từ khi tiếp nhận thông tin đến khi triển khai lực lượng phản ứng nhanh;</w:t>
            </w:r>
          </w:p>
          <w:p w14:paraId="79EA3B69" w14:textId="77777777" w:rsidR="005E1808" w:rsidRPr="0000007D" w:rsidRDefault="00000000" w:rsidP="0000007D">
            <w:pPr>
              <w:jc w:val="both"/>
              <w:rPr>
                <w:sz w:val="24"/>
                <w:szCs w:val="24"/>
              </w:rPr>
            </w:pPr>
            <w:r>
              <w:rPr>
                <w:sz w:val="24"/>
                <w:szCs w:val="24"/>
              </w:rPr>
              <w:t xml:space="preserve">(3) Cụ thể hóa việc công khai thông tin cảnh báo sự cố, danh sách cơ sở vi </w:t>
            </w:r>
            <w:r>
              <w:rPr>
                <w:sz w:val="24"/>
                <w:szCs w:val="24"/>
              </w:rPr>
              <w:lastRenderedPageBreak/>
              <w:t>phạm, gây sự cố trên Cổng thông tin điện tử của Thành phố và của Sở An toàn thực phẩm.</w:t>
            </w:r>
          </w:p>
        </w:tc>
        <w:tc>
          <w:tcPr>
            <w:tcW w:w="22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F61C4A" w14:textId="77777777" w:rsidR="005E1808" w:rsidRPr="0000007D" w:rsidRDefault="00000000" w:rsidP="0000007D">
            <w:pPr>
              <w:jc w:val="both"/>
              <w:rPr>
                <w:sz w:val="24"/>
                <w:szCs w:val="24"/>
              </w:rPr>
            </w:pPr>
            <w:r>
              <w:rPr>
                <w:b/>
                <w:bCs/>
                <w:sz w:val="24"/>
                <w:szCs w:val="24"/>
              </w:rPr>
              <w:lastRenderedPageBreak/>
              <w:t>(1)</w:t>
            </w:r>
            <w:r>
              <w:rPr>
                <w:sz w:val="24"/>
                <w:szCs w:val="24"/>
              </w:rPr>
              <w:t xml:space="preserve"> Tiếp thu: đã bổ sung, làm rõ tại các Điều 20, 21, 22, 23; cơ chế phối hợp cũng đã được nêu tại Quy chế ban hành kèm Quyết định số 5976/QĐ-UBND ngày 16/9/2026;</w:t>
            </w:r>
          </w:p>
          <w:p w14:paraId="61A80126" w14:textId="77777777" w:rsidR="005E1808" w:rsidRPr="0000007D" w:rsidRDefault="00000000" w:rsidP="0000007D">
            <w:pPr>
              <w:jc w:val="both"/>
              <w:rPr>
                <w:sz w:val="24"/>
                <w:szCs w:val="24"/>
              </w:rPr>
            </w:pPr>
            <w:r>
              <w:rPr>
                <w:b/>
                <w:bCs/>
                <w:sz w:val="24"/>
                <w:szCs w:val="24"/>
              </w:rPr>
              <w:t>(2)</w:t>
            </w:r>
            <w:r>
              <w:rPr>
                <w:sz w:val="24"/>
                <w:szCs w:val="24"/>
              </w:rPr>
              <w:t xml:space="preserve"> Không tiếp thu vì dự thảo đã quy định mốc 02 giờ (khoản 1 Điều 11, Điều 13);</w:t>
            </w:r>
          </w:p>
          <w:p w14:paraId="0540E67A" w14:textId="77777777" w:rsidR="005E1808" w:rsidRPr="0000007D" w:rsidRDefault="00000000" w:rsidP="0000007D">
            <w:pPr>
              <w:jc w:val="both"/>
              <w:rPr>
                <w:sz w:val="24"/>
                <w:szCs w:val="24"/>
              </w:rPr>
            </w:pPr>
            <w:r>
              <w:rPr>
                <w:b/>
                <w:bCs/>
                <w:sz w:val="24"/>
                <w:szCs w:val="24"/>
              </w:rPr>
              <w:t>(3)</w:t>
            </w:r>
            <w:r>
              <w:rPr>
                <w:sz w:val="24"/>
                <w:szCs w:val="24"/>
              </w:rPr>
              <w:t xml:space="preserve"> Tiếp thu, điều chỉnh Điều 18 về công bố thông tin và truyền thông nguy cơ (khoản 1, khoản 2); hình thức cảnh báo sớm trên Cổng thông tin điện tử, ứng dụng số, phương tiện truyền thông quy </w:t>
            </w:r>
            <w:r>
              <w:rPr>
                <w:sz w:val="24"/>
                <w:szCs w:val="24"/>
              </w:rPr>
              <w:lastRenderedPageBreak/>
              <w:t>định tại khoản 2 Điều 9.</w:t>
            </w:r>
          </w:p>
        </w:tc>
      </w:tr>
    </w:tbl>
    <w:p w14:paraId="2FAE0899" w14:textId="77777777" w:rsidR="006F2F88" w:rsidRDefault="00000000" w:rsidP="00C857C6">
      <w:pPr>
        <w:spacing w:before="120" w:after="120"/>
        <w:ind w:firstLine="567"/>
        <w:jc w:val="both"/>
        <w:rPr>
          <w:sz w:val="28"/>
          <w:szCs w:val="28"/>
        </w:rPr>
      </w:pPr>
      <w:r>
        <w:rPr>
          <w:sz w:val="28"/>
          <w:szCs w:val="28"/>
        </w:rPr>
        <w:lastRenderedPageBreak/>
        <w:t xml:space="preserve">Ý kiến của các sở, ngành, Ủy ban nhân dân phường, xã trong quá trình lấy ý kiến dự thảo được tổng hợp tại Bản tổng hợp, tiếp thu, giải trình ý kiến góp ý </w:t>
      </w:r>
      <w:r>
        <w:rPr>
          <w:i/>
          <w:iCs/>
          <w:sz w:val="28"/>
          <w:szCs w:val="28"/>
        </w:rPr>
        <w:t>(Mẫu số 10 Phụ lục IV Nghị định số 187/2025/NĐ-CP)</w:t>
      </w:r>
      <w:r>
        <w:rPr>
          <w:sz w:val="28"/>
          <w:szCs w:val="28"/>
        </w:rPr>
        <w:t xml:space="preserve">. </w:t>
      </w:r>
    </w:p>
    <w:p w14:paraId="428C98F1" w14:textId="77777777" w:rsidR="005E1808" w:rsidRPr="00C857C6" w:rsidRDefault="00000000" w:rsidP="00EF3AE5">
      <w:pPr>
        <w:keepNext/>
        <w:spacing w:before="120" w:after="120"/>
        <w:ind w:firstLine="567"/>
        <w:jc w:val="both"/>
        <w:rPr>
          <w:sz w:val="28"/>
          <w:szCs w:val="28"/>
        </w:rPr>
      </w:pPr>
      <w:r>
        <w:rPr>
          <w:b/>
          <w:bCs/>
          <w:sz w:val="28"/>
          <w:szCs w:val="28"/>
        </w:rPr>
        <w:t>IV. ĐÁNH GIÁ CHUNG</w:t>
      </w:r>
    </w:p>
    <w:p w14:paraId="26D43AB5" w14:textId="77777777" w:rsidR="005E1808" w:rsidRPr="00C857C6" w:rsidRDefault="00000000" w:rsidP="00C857C6">
      <w:pPr>
        <w:spacing w:before="120" w:after="120"/>
        <w:ind w:firstLine="567"/>
        <w:jc w:val="both"/>
        <w:rPr>
          <w:sz w:val="28"/>
          <w:szCs w:val="28"/>
        </w:rPr>
      </w:pPr>
      <w:r>
        <w:rPr>
          <w:sz w:val="28"/>
          <w:szCs w:val="28"/>
        </w:rPr>
        <w:t>Các cơ quan được tham vấn nhất trí về sự cần thiết ban hành Quy định và đánh giá dự thảo đã xây dựng khung quy định tương đối đầy đủ về giám sát, cảnh báo sớm, phản ứng nhanh, khắc phục sự cố an toàn thực phẩm. Sở Tài chính, Sở Nội vụ và Sở Khoa học và Công nghệ thống nhất với nội dung dự thảo; chưa có ý kiến khác biệt về nội dung chính sách.</w:t>
      </w:r>
    </w:p>
    <w:p w14:paraId="36DCED79" w14:textId="77777777" w:rsidR="005E1808" w:rsidRDefault="00000000" w:rsidP="00C857C6">
      <w:pPr>
        <w:spacing w:before="120" w:after="120"/>
        <w:ind w:firstLine="567"/>
        <w:jc w:val="both"/>
        <w:rPr>
          <w:sz w:val="28"/>
          <w:szCs w:val="28"/>
        </w:rPr>
      </w:pPr>
      <w:r>
        <w:rPr>
          <w:sz w:val="28"/>
          <w:szCs w:val="28"/>
        </w:rPr>
        <w:t>Các ý kiến góp ý tập trung vào: đầu mối chủ trì và cơ chế phối hợp liên ngành, liên tỉnh; chia sẻ dữ liệu dùng chung; phạm vi thẩm quyền và trình tự áp dụng biện pháp ngăn chặn khẩn cấp; đánh giá sau sự cố; công khai thông tin cảnh báo; phân loại cấp độ sự cố tại cơ sở giáo dục và đối tượng thuộc mạng lưới giám sát (Cục Công nghiệp - Bộ Công Thương). Bộ Y tế (Cục An toàn thực phẩm) thống nhất chủ trương ban hành Quy định; các góp ý tập trung vào thuật ngữ, khái niệm; chia sẻ dữ liệu và bảo vệ dữ liệu cá nhân; tiêu chí phân loại cấp độ; mốc thời gian phản ứng, thành phần Đội phản ứng nhanh; lấy mẫu, truy xuất nguồn gốc; truyền thông nguy cơ; trách nhiệm tổ chức thực hiện và biểu mẫu kèm theo. Cơ quan chủ trì soạn thảo tiếp thu các nội dung phù hợp để hoàn thiện dự thảo; ghi nhận và giải trình đối với các nội dung chưa tiếp thu</w:t>
      </w:r>
    </w:p>
    <w:p w14:paraId="548F0BE1" w14:textId="77777777" w:rsidR="005E1808" w:rsidRDefault="00B94980" w:rsidP="00C857C6">
      <w:pPr>
        <w:spacing w:before="120" w:after="120"/>
        <w:ind w:firstLine="567"/>
        <w:jc w:val="both"/>
        <w:rPr>
          <w:sz w:val="28"/>
          <w:szCs w:val="28"/>
        </w:rPr>
      </w:pPr>
      <w:r>
        <w:rPr>
          <w:sz w:val="28"/>
          <w:szCs w:val="28"/>
        </w:rPr>
        <w:t>Trên đây là tổng hợp kết quả tham vấn chính sách của Sở An toàn thực phẩm./.</w:t>
      </w:r>
    </w:p>
    <w:p w14:paraId="0EC7972D" w14:textId="77777777" w:rsidR="00C857C6" w:rsidRPr="00C857C6" w:rsidRDefault="00C857C6" w:rsidP="00C857C6">
      <w:pPr>
        <w:spacing w:before="120" w:after="120"/>
        <w:ind w:firstLine="567"/>
        <w:jc w:val="both"/>
        <w:rPr>
          <w:sz w:val="28"/>
          <w:szCs w:val="28"/>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5"/>
        <w:gridCol w:w="4536"/>
      </w:tblGrid>
      <w:tr w:rsidR="005E1808" w14:paraId="052181DD" w14:textId="77777777">
        <w:tc>
          <w:tcPr>
            <w:tcW w:w="4535" w:type="dxa"/>
            <w:tcBorders>
              <w:top w:val="none" w:sz="0" w:space="0" w:color="FFFFFF"/>
              <w:left w:val="none" w:sz="0" w:space="0" w:color="FFFFFF"/>
              <w:bottom w:val="none" w:sz="0" w:space="0" w:color="FFFFFF"/>
              <w:right w:val="none" w:sz="0" w:space="0" w:color="FFFFFF"/>
            </w:tcBorders>
          </w:tcPr>
          <w:p w14:paraId="19FF440F" w14:textId="77777777" w:rsidR="005E1808" w:rsidRPr="00C857C6" w:rsidRDefault="00000000">
            <w:pPr>
              <w:rPr>
                <w:sz w:val="24"/>
                <w:szCs w:val="24"/>
              </w:rPr>
            </w:pPr>
            <w:r>
              <w:rPr>
                <w:b/>
                <w:bCs/>
                <w:i/>
                <w:iCs/>
                <w:sz w:val="24"/>
                <w:szCs w:val="24"/>
              </w:rPr>
              <w:t>Nơi nhận:</w:t>
            </w:r>
          </w:p>
          <w:p w14:paraId="70E2BB74" w14:textId="77777777" w:rsidR="004915CC" w:rsidRDefault="00000000">
            <w:pPr>
              <w:rPr>
                <w:sz w:val="22"/>
                <w:szCs w:val="22"/>
              </w:rPr>
            </w:pPr>
            <w:r>
              <w:rPr>
                <w:sz w:val="22"/>
                <w:szCs w:val="22"/>
              </w:rPr>
              <w:t>- UBND TP. HCM;</w:t>
            </w:r>
          </w:p>
          <w:p w14:paraId="453E4056" w14:textId="77777777" w:rsidR="005E1808" w:rsidRDefault="004915CC">
            <w:r>
              <w:rPr>
                <w:sz w:val="22"/>
                <w:szCs w:val="22"/>
              </w:rPr>
              <w:t>- Sở Tư pháp (để thẩm định);</w:t>
            </w:r>
          </w:p>
          <w:p w14:paraId="0036EC00" w14:textId="77777777" w:rsidR="005E1808" w:rsidRDefault="00000000">
            <w:r>
              <w:rPr>
                <w:sz w:val="22"/>
                <w:szCs w:val="22"/>
              </w:rPr>
              <w:t>- Lưu: VT, GSNĐTP&amp;TTTT.</w:t>
            </w:r>
          </w:p>
        </w:tc>
        <w:tc>
          <w:tcPr>
            <w:tcW w:w="4536" w:type="dxa"/>
            <w:tcBorders>
              <w:top w:val="none" w:sz="0" w:space="0" w:color="FFFFFF"/>
              <w:left w:val="none" w:sz="0" w:space="0" w:color="FFFFFF"/>
              <w:bottom w:val="none" w:sz="0" w:space="0" w:color="FFFFFF"/>
              <w:right w:val="none" w:sz="0" w:space="0" w:color="FFFFFF"/>
            </w:tcBorders>
          </w:tcPr>
          <w:p w14:paraId="56087DC9" w14:textId="77777777" w:rsidR="005E1808" w:rsidRDefault="00B94980" w:rsidP="006D4152">
            <w:pPr>
              <w:jc w:val="center"/>
              <w:rPr>
                <w:b/>
                <w:bCs/>
                <w:sz w:val="28"/>
                <w:szCs w:val="28"/>
              </w:rPr>
            </w:pPr>
            <w:r>
              <w:rPr>
                <w:b/>
                <w:bCs/>
                <w:sz w:val="28"/>
                <w:szCs w:val="28"/>
              </w:rPr>
              <w:t>KT. GIÁM ĐỐC</w:t>
            </w:r>
          </w:p>
          <w:p w14:paraId="1ECE744B" w14:textId="77777777" w:rsidR="00B94980" w:rsidRPr="009221E3" w:rsidRDefault="00B94980" w:rsidP="006D4152">
            <w:pPr>
              <w:jc w:val="center"/>
              <w:rPr>
                <w:sz w:val="28"/>
                <w:szCs w:val="28"/>
              </w:rPr>
            </w:pPr>
            <w:r>
              <w:rPr>
                <w:b/>
                <w:bCs/>
                <w:sz w:val="28"/>
                <w:szCs w:val="28"/>
              </w:rPr>
              <w:t>PHÓ GIÁM ĐỐC</w:t>
            </w:r>
          </w:p>
          <w:p w14:paraId="7150352A" w14:textId="77777777" w:rsidR="005E1808" w:rsidRDefault="005E1808" w:rsidP="006D4152">
            <w:pPr>
              <w:rPr>
                <w:sz w:val="28"/>
                <w:szCs w:val="28"/>
              </w:rPr>
            </w:pPr>
          </w:p>
          <w:p w14:paraId="2084624A" w14:textId="77777777" w:rsidR="006D4152" w:rsidRDefault="006D4152" w:rsidP="006D4152">
            <w:pPr>
              <w:rPr>
                <w:sz w:val="28"/>
                <w:szCs w:val="28"/>
              </w:rPr>
            </w:pPr>
          </w:p>
          <w:p w14:paraId="5FFCCCF3" w14:textId="77777777" w:rsidR="006D4152" w:rsidRDefault="006D4152" w:rsidP="006D4152">
            <w:pPr>
              <w:rPr>
                <w:sz w:val="28"/>
                <w:szCs w:val="28"/>
              </w:rPr>
            </w:pPr>
          </w:p>
          <w:p w14:paraId="03C4C6EE" w14:textId="77777777" w:rsidR="006D4152" w:rsidRDefault="006D4152" w:rsidP="006D4152">
            <w:pPr>
              <w:rPr>
                <w:sz w:val="28"/>
                <w:szCs w:val="28"/>
              </w:rPr>
            </w:pPr>
          </w:p>
          <w:p w14:paraId="21887BDA" w14:textId="77777777" w:rsidR="006D4152" w:rsidRDefault="006D4152" w:rsidP="006D4152">
            <w:pPr>
              <w:rPr>
                <w:sz w:val="28"/>
                <w:szCs w:val="28"/>
              </w:rPr>
            </w:pPr>
          </w:p>
          <w:p w14:paraId="2D1476E2" w14:textId="77777777" w:rsidR="005E1808" w:rsidRDefault="00B94980" w:rsidP="006D4152">
            <w:pPr>
              <w:jc w:val="center"/>
            </w:pPr>
            <w:r>
              <w:rPr>
                <w:b/>
                <w:bCs/>
                <w:sz w:val="28"/>
                <w:szCs w:val="28"/>
              </w:rPr>
              <w:t>Lê Minh Hải</w:t>
            </w:r>
          </w:p>
        </w:tc>
      </w:tr>
    </w:tbl>
    <w:p w14:paraId="717FB2E1" w14:textId="77777777" w:rsidR="00B018A1" w:rsidRDefault="00B018A1"/>
    <w:sectPr w:rsidR="00B018A1">
      <w:footerReference w:type="default" r:id="rId7"/>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E4379" w14:textId="77777777" w:rsidR="00033D7F" w:rsidRDefault="00033D7F">
      <w:r>
        <w:separator/>
      </w:r>
    </w:p>
  </w:endnote>
  <w:endnote w:type="continuationSeparator" w:id="0">
    <w:p w14:paraId="0CECAE4D" w14:textId="77777777" w:rsidR="00033D7F" w:rsidRDefault="00033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72A6" w14:textId="77777777" w:rsidR="005E1808" w:rsidRDefault="00000000">
    <w:pPr>
      <w:jc w:val="center"/>
    </w:pPr>
    <w:r>
      <w:rPr>
        <w:sz w:val="22"/>
        <w:szCs w:val="22"/>
      </w:rPr>
      <w:fldChar w:fldCharType="begin"/>
    </w:r>
    <w:r>
      <w:rPr>
        <w:sz w:val="22"/>
        <w:szCs w:val="22"/>
      </w:rPr>
      <w:instrText>PAGE</w:instrText>
    </w:r>
    <w:r>
      <w:rPr>
        <w:sz w:val="22"/>
        <w:szCs w:val="22"/>
      </w:rPr>
      <w:fldChar w:fldCharType="separate"/>
    </w:r>
    <w:r w:rsidR="00C446EC">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728C8" w14:textId="77777777" w:rsidR="00033D7F" w:rsidRDefault="00033D7F">
      <w:r>
        <w:separator/>
      </w:r>
    </w:p>
  </w:footnote>
  <w:footnote w:type="continuationSeparator" w:id="0">
    <w:p w14:paraId="22B7B023" w14:textId="77777777" w:rsidR="00033D7F" w:rsidRDefault="00033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4B00"/>
    <w:multiLevelType w:val="hybridMultilevel"/>
    <w:tmpl w:val="FBF8DE2A"/>
    <w:lvl w:ilvl="0" w:tplc="AFF0412C">
      <w:start w:val="1"/>
      <w:numFmt w:val="bullet"/>
      <w:lvlText w:val="-"/>
      <w:lvlJc w:val="left"/>
      <w:pPr>
        <w:ind w:left="900" w:hanging="340"/>
      </w:pPr>
    </w:lvl>
    <w:lvl w:ilvl="1" w:tplc="AD588264">
      <w:start w:val="1"/>
      <w:numFmt w:val="bullet"/>
      <w:lvlText w:val="+"/>
      <w:lvlJc w:val="left"/>
      <w:pPr>
        <w:ind w:left="1300" w:hanging="340"/>
      </w:pPr>
    </w:lvl>
    <w:lvl w:ilvl="2" w:tplc="BD864B00">
      <w:numFmt w:val="decimal"/>
      <w:lvlText w:val=""/>
      <w:lvlJc w:val="left"/>
    </w:lvl>
    <w:lvl w:ilvl="3" w:tplc="AA5E79DE">
      <w:numFmt w:val="decimal"/>
      <w:lvlText w:val=""/>
      <w:lvlJc w:val="left"/>
    </w:lvl>
    <w:lvl w:ilvl="4" w:tplc="BAFE2B96">
      <w:numFmt w:val="decimal"/>
      <w:lvlText w:val=""/>
      <w:lvlJc w:val="left"/>
    </w:lvl>
    <w:lvl w:ilvl="5" w:tplc="A088EE6E">
      <w:numFmt w:val="decimal"/>
      <w:lvlText w:val=""/>
      <w:lvlJc w:val="left"/>
    </w:lvl>
    <w:lvl w:ilvl="6" w:tplc="836A00FC">
      <w:numFmt w:val="decimal"/>
      <w:lvlText w:val=""/>
      <w:lvlJc w:val="left"/>
    </w:lvl>
    <w:lvl w:ilvl="7" w:tplc="2738F50A">
      <w:numFmt w:val="decimal"/>
      <w:lvlText w:val=""/>
      <w:lvlJc w:val="left"/>
    </w:lvl>
    <w:lvl w:ilvl="8" w:tplc="24F04DF6">
      <w:numFmt w:val="decimal"/>
      <w:lvlText w:val=""/>
      <w:lvlJc w:val="left"/>
    </w:lvl>
  </w:abstractNum>
  <w:abstractNum w:abstractNumId="1" w15:restartNumberingAfterBreak="0">
    <w:nsid w:val="303D446A"/>
    <w:multiLevelType w:val="hybridMultilevel"/>
    <w:tmpl w:val="C8D07C8C"/>
    <w:lvl w:ilvl="0" w:tplc="764CD2C2">
      <w:start w:val="1"/>
      <w:numFmt w:val="bullet"/>
      <w:lvlText w:val="●"/>
      <w:lvlJc w:val="left"/>
      <w:pPr>
        <w:ind w:left="720" w:hanging="360"/>
      </w:pPr>
    </w:lvl>
    <w:lvl w:ilvl="1" w:tplc="F15261D2">
      <w:start w:val="1"/>
      <w:numFmt w:val="bullet"/>
      <w:lvlText w:val="○"/>
      <w:lvlJc w:val="left"/>
      <w:pPr>
        <w:ind w:left="1440" w:hanging="360"/>
      </w:pPr>
    </w:lvl>
    <w:lvl w:ilvl="2" w:tplc="3C7CC6A2">
      <w:start w:val="1"/>
      <w:numFmt w:val="bullet"/>
      <w:lvlText w:val="■"/>
      <w:lvlJc w:val="left"/>
      <w:pPr>
        <w:ind w:left="2160" w:hanging="360"/>
      </w:pPr>
    </w:lvl>
    <w:lvl w:ilvl="3" w:tplc="EE609000">
      <w:start w:val="1"/>
      <w:numFmt w:val="bullet"/>
      <w:lvlText w:val="●"/>
      <w:lvlJc w:val="left"/>
      <w:pPr>
        <w:ind w:left="2880" w:hanging="360"/>
      </w:pPr>
    </w:lvl>
    <w:lvl w:ilvl="4" w:tplc="C0F4C80A">
      <w:start w:val="1"/>
      <w:numFmt w:val="bullet"/>
      <w:lvlText w:val="○"/>
      <w:lvlJc w:val="left"/>
      <w:pPr>
        <w:ind w:left="3600" w:hanging="360"/>
      </w:pPr>
    </w:lvl>
    <w:lvl w:ilvl="5" w:tplc="E1C6E3F8">
      <w:start w:val="1"/>
      <w:numFmt w:val="bullet"/>
      <w:lvlText w:val="■"/>
      <w:lvlJc w:val="left"/>
      <w:pPr>
        <w:ind w:left="4320" w:hanging="360"/>
      </w:pPr>
    </w:lvl>
    <w:lvl w:ilvl="6" w:tplc="38407B6A">
      <w:start w:val="1"/>
      <w:numFmt w:val="bullet"/>
      <w:lvlText w:val="●"/>
      <w:lvlJc w:val="left"/>
      <w:pPr>
        <w:ind w:left="5040" w:hanging="360"/>
      </w:pPr>
    </w:lvl>
    <w:lvl w:ilvl="7" w:tplc="F87E9F04">
      <w:start w:val="1"/>
      <w:numFmt w:val="bullet"/>
      <w:lvlText w:val="●"/>
      <w:lvlJc w:val="left"/>
      <w:pPr>
        <w:ind w:left="5760" w:hanging="360"/>
      </w:pPr>
    </w:lvl>
    <w:lvl w:ilvl="8" w:tplc="C7189A12">
      <w:start w:val="1"/>
      <w:numFmt w:val="bullet"/>
      <w:lvlText w:val="●"/>
      <w:lvlJc w:val="left"/>
      <w:pPr>
        <w:ind w:left="6480" w:hanging="360"/>
      </w:pPr>
    </w:lvl>
  </w:abstractNum>
  <w:num w:numId="1" w16cid:durableId="596645594">
    <w:abstractNumId w:val="1"/>
    <w:lvlOverride w:ilvl="0">
      <w:startOverride w:val="1"/>
    </w:lvlOverride>
  </w:num>
  <w:num w:numId="2" w16cid:durableId="7905198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08"/>
    <w:rsid w:val="0000007D"/>
    <w:rsid w:val="00033D7F"/>
    <w:rsid w:val="0008108A"/>
    <w:rsid w:val="000B1FFE"/>
    <w:rsid w:val="00156032"/>
    <w:rsid w:val="00251379"/>
    <w:rsid w:val="00486AD8"/>
    <w:rsid w:val="004915CC"/>
    <w:rsid w:val="005E1808"/>
    <w:rsid w:val="00633F1B"/>
    <w:rsid w:val="006459C2"/>
    <w:rsid w:val="00647AD3"/>
    <w:rsid w:val="006D4152"/>
    <w:rsid w:val="006F2F88"/>
    <w:rsid w:val="007C1438"/>
    <w:rsid w:val="007E2EF9"/>
    <w:rsid w:val="009221E3"/>
    <w:rsid w:val="009D5A27"/>
    <w:rsid w:val="00A102CF"/>
    <w:rsid w:val="00A50A23"/>
    <w:rsid w:val="00AD1E48"/>
    <w:rsid w:val="00B018A1"/>
    <w:rsid w:val="00B108CF"/>
    <w:rsid w:val="00B65765"/>
    <w:rsid w:val="00B8429B"/>
    <w:rsid w:val="00B94980"/>
    <w:rsid w:val="00C120E7"/>
    <w:rsid w:val="00C21A8F"/>
    <w:rsid w:val="00C446EC"/>
    <w:rsid w:val="00C857C6"/>
    <w:rsid w:val="00C961EB"/>
    <w:rsid w:val="00CB58F2"/>
    <w:rsid w:val="00D850FA"/>
    <w:rsid w:val="00DB3DE8"/>
    <w:rsid w:val="00E00CC2"/>
    <w:rsid w:val="00ED049B"/>
    <w:rsid w:val="00ED57BD"/>
    <w:rsid w:val="00EF3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B51CF"/>
  <w15:docId w15:val="{FC008971-ADAE-451A-A7BA-9A51C989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2669</Words>
  <Characters>15217</Characters>
  <Application>Microsoft Office Word</Application>
  <DocSecurity>0</DocSecurity>
  <Lines>126</Lines>
  <Paragraphs>35</Paragraphs>
  <ScaleCrop>false</ScaleCrop>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Phuc Thai Hoang</cp:lastModifiedBy>
  <cp:revision>27</cp:revision>
  <dcterms:created xsi:type="dcterms:W3CDTF">2026-10-06T06:39:00Z</dcterms:created>
  <dcterms:modified xsi:type="dcterms:W3CDTF">2026-10-20T01:44:00Z</dcterms:modified>
</cp:coreProperties>
</file>